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72" w:type="dxa"/>
        <w:tblLook w:val="04A0" w:firstRow="1" w:lastRow="0" w:firstColumn="1" w:lastColumn="0" w:noHBand="0" w:noVBand="1"/>
      </w:tblPr>
      <w:tblGrid>
        <w:gridCol w:w="6636"/>
        <w:gridCol w:w="6636"/>
      </w:tblGrid>
      <w:tr w:rsidR="00A36DF2" w:rsidTr="00A36DF2">
        <w:trPr>
          <w:trHeight w:val="385"/>
        </w:trPr>
        <w:tc>
          <w:tcPr>
            <w:tcW w:w="6636" w:type="dxa"/>
          </w:tcPr>
          <w:p w:rsidR="00A36DF2" w:rsidRDefault="00A36DF2">
            <w:r>
              <w:t>Article Title</w:t>
            </w:r>
          </w:p>
        </w:tc>
        <w:tc>
          <w:tcPr>
            <w:tcW w:w="6636" w:type="dxa"/>
          </w:tcPr>
          <w:p w:rsidR="00A36DF2" w:rsidRDefault="00A36DF2">
            <w:r>
              <w:t>Abstract</w:t>
            </w:r>
          </w:p>
        </w:tc>
      </w:tr>
      <w:tr w:rsidR="00A36DF2" w:rsidTr="00A36DF2">
        <w:trPr>
          <w:trHeight w:val="1205"/>
        </w:trPr>
        <w:tc>
          <w:tcPr>
            <w:tcW w:w="6636" w:type="dxa"/>
          </w:tcPr>
          <w:p w:rsidR="00A36DF2" w:rsidRPr="00D35A92" w:rsidRDefault="00D35A92">
            <w:pPr>
              <w:rPr>
                <w:rFonts w:ascii="Times New Roman" w:hAnsi="Times New Roman" w:cs="Times New Roman"/>
                <w:sz w:val="44"/>
                <w:szCs w:val="44"/>
              </w:rPr>
            </w:pPr>
            <w:r w:rsidRPr="00D35A92">
              <w:rPr>
                <w:rFonts w:ascii="Times New Roman" w:hAnsi="Times New Roman" w:cs="Times New Roman"/>
                <w:b/>
                <w:bCs/>
                <w:sz w:val="44"/>
                <w:szCs w:val="44"/>
              </w:rPr>
              <w:t>A Note From The Editor</w:t>
            </w:r>
          </w:p>
        </w:tc>
        <w:tc>
          <w:tcPr>
            <w:tcW w:w="6636" w:type="dxa"/>
          </w:tcPr>
          <w:p w:rsidR="00A36DF2" w:rsidRPr="00D35A92" w:rsidRDefault="00D35A92">
            <w:r>
              <w:t xml:space="preserve">This issue of the </w:t>
            </w:r>
            <w:r>
              <w:rPr>
                <w:i/>
              </w:rPr>
              <w:t xml:space="preserve">Journal of California and Great Basin Anthropology </w:t>
            </w:r>
            <w:r>
              <w:t xml:space="preserve">marks my last as editor. I took on the editorship just over six years ago, and I  feel that during those years the </w:t>
            </w:r>
            <w:r>
              <w:rPr>
                <w:i/>
              </w:rPr>
              <w:t>Journal</w:t>
            </w:r>
            <w:r>
              <w:t xml:space="preserve"> has continued to grow and successfully maintain its long tradition of publishing significant articles on the sociocultural, biological, archaeological, and linguistic anthropology of California and the Great Basin. It has been an honor to have served as editor for these years, but it is now time to pass the editorship and the legacy of the </w:t>
            </w:r>
            <w:r>
              <w:rPr>
                <w:i/>
              </w:rPr>
              <w:t>Journal</w:t>
            </w:r>
            <w:r>
              <w:t xml:space="preserve"> on to someone else. After an extensive search, the Editorial Board of the </w:t>
            </w:r>
            <w:r>
              <w:rPr>
                <w:i/>
              </w:rPr>
              <w:t xml:space="preserve">Journal of California and Great Basin Anthropology </w:t>
            </w:r>
            <w:r>
              <w:t xml:space="preserve">has chosen Todd </w:t>
            </w:r>
            <w:proofErr w:type="spellStart"/>
            <w:r>
              <w:t>Braje</w:t>
            </w:r>
            <w:proofErr w:type="spellEnd"/>
            <w:r>
              <w:t xml:space="preserve"> to be the new editor.</w:t>
            </w:r>
          </w:p>
        </w:tc>
      </w:tr>
      <w:tr w:rsidR="00D35A92" w:rsidTr="00A36DF2">
        <w:trPr>
          <w:trHeight w:val="1205"/>
        </w:trPr>
        <w:tc>
          <w:tcPr>
            <w:tcW w:w="6636" w:type="dxa"/>
          </w:tcPr>
          <w:p w:rsidR="00D35A92" w:rsidRPr="00D35A92" w:rsidRDefault="00D35A92" w:rsidP="00D35A92">
            <w:pPr>
              <w:rPr>
                <w:rFonts w:ascii="Times New Roman" w:hAnsi="Times New Roman" w:cs="Times New Roman"/>
                <w:b/>
                <w:bCs/>
                <w:sz w:val="44"/>
                <w:szCs w:val="44"/>
              </w:rPr>
            </w:pPr>
            <w:r w:rsidRPr="00D35A92">
              <w:rPr>
                <w:rFonts w:ascii="Times New Roman" w:hAnsi="Times New Roman" w:cs="Times New Roman"/>
                <w:b/>
                <w:bCs/>
                <w:sz w:val="44"/>
                <w:szCs w:val="44"/>
              </w:rPr>
              <w:t>Obsidian Source Distribution</w:t>
            </w:r>
          </w:p>
          <w:p w:rsidR="00D35A92" w:rsidRPr="00D35A92" w:rsidRDefault="00D35A92" w:rsidP="00D35A92">
            <w:pPr>
              <w:rPr>
                <w:rFonts w:ascii="Times New Roman" w:hAnsi="Times New Roman" w:cs="Times New Roman"/>
                <w:b/>
                <w:bCs/>
                <w:sz w:val="44"/>
                <w:szCs w:val="44"/>
              </w:rPr>
            </w:pPr>
            <w:r w:rsidRPr="00D35A92">
              <w:rPr>
                <w:rFonts w:ascii="Times New Roman" w:hAnsi="Times New Roman" w:cs="Times New Roman"/>
                <w:b/>
                <w:bCs/>
                <w:sz w:val="44"/>
                <w:szCs w:val="44"/>
              </w:rPr>
              <w:t xml:space="preserve">and </w:t>
            </w:r>
            <w:r w:rsidR="00F653F1">
              <w:rPr>
                <w:rFonts w:ascii="Times New Roman" w:hAnsi="Times New Roman" w:cs="Times New Roman"/>
                <w:b/>
                <w:bCs/>
                <w:sz w:val="44"/>
                <w:szCs w:val="44"/>
              </w:rPr>
              <w:t xml:space="preserve">Prehistoric Settlement Patterns </w:t>
            </w:r>
            <w:r w:rsidRPr="00D35A92">
              <w:rPr>
                <w:rFonts w:ascii="Times New Roman" w:hAnsi="Times New Roman" w:cs="Times New Roman"/>
                <w:b/>
                <w:bCs/>
                <w:sz w:val="44"/>
                <w:szCs w:val="44"/>
              </w:rPr>
              <w:t>at Mono Lake, Eastern California</w:t>
            </w:r>
          </w:p>
        </w:tc>
        <w:tc>
          <w:tcPr>
            <w:tcW w:w="6636" w:type="dxa"/>
          </w:tcPr>
          <w:p w:rsidR="00D35A92" w:rsidRDefault="00D35A92">
            <w:r>
              <w:t xml:space="preserve">Hunter-gatherer settlement studies often use </w:t>
            </w:r>
            <w:proofErr w:type="spellStart"/>
            <w:r>
              <w:t>toolstone</w:t>
            </w:r>
            <w:proofErr w:type="spellEnd"/>
            <w:r>
              <w:t xml:space="preserve"> diversity to measure the degree to which mobility was regular, expansive, or localized. The results of a </w:t>
            </w:r>
            <w:r w:rsidRPr="00D35A92">
              <w:t>10 km.2</w:t>
            </w:r>
            <w:r>
              <w:t xml:space="preserve"> probabilistic survey investigating prehistoric wetland use at Mono Lake demonstrate a pattern that is counter-intuitive to preconceived notions. Diachronic change in landscape use is investigated with a combination of obsidian sourcing and hydration analysis. Rather than conforming to a linear distance-decay model, source distributions appear to reflect differential patch-choice among lakeside habitats. Comparisons with environmental and </w:t>
            </w:r>
            <w:proofErr w:type="spellStart"/>
            <w:r>
              <w:t>paleoenvironmental</w:t>
            </w:r>
            <w:proofErr w:type="spellEnd"/>
            <w:r>
              <w:t xml:space="preserve"> data underscore changes in the use of wetland habitats and highlight the utility of surface survey and obsidian data for understanding past settlement-subsistence patterns. </w:t>
            </w:r>
          </w:p>
        </w:tc>
      </w:tr>
      <w:tr w:rsidR="00D35A92" w:rsidTr="00A36DF2">
        <w:trPr>
          <w:trHeight w:val="1205"/>
        </w:trPr>
        <w:tc>
          <w:tcPr>
            <w:tcW w:w="6636" w:type="dxa"/>
          </w:tcPr>
          <w:p w:rsidR="00D35A92" w:rsidRPr="00D35A92" w:rsidRDefault="00D35A92" w:rsidP="00D35A92">
            <w:pPr>
              <w:rPr>
                <w:rFonts w:ascii="Times New Roman" w:hAnsi="Times New Roman" w:cs="Times New Roman"/>
                <w:b/>
                <w:bCs/>
                <w:sz w:val="44"/>
                <w:szCs w:val="44"/>
              </w:rPr>
            </w:pPr>
            <w:r w:rsidRPr="00D35A92">
              <w:rPr>
                <w:rFonts w:ascii="Times New Roman" w:hAnsi="Times New Roman" w:cs="Times New Roman"/>
                <w:b/>
                <w:bCs/>
                <w:sz w:val="44"/>
                <w:szCs w:val="44"/>
              </w:rPr>
              <w:t>Archaeological Expectations</w:t>
            </w:r>
          </w:p>
          <w:p w:rsidR="00D35A92" w:rsidRPr="00D35A92" w:rsidRDefault="00F653F1" w:rsidP="00D35A92">
            <w:pPr>
              <w:rPr>
                <w:rFonts w:ascii="Times New Roman" w:hAnsi="Times New Roman" w:cs="Times New Roman"/>
                <w:b/>
                <w:bCs/>
                <w:sz w:val="44"/>
                <w:szCs w:val="44"/>
              </w:rPr>
            </w:pPr>
            <w:r>
              <w:rPr>
                <w:rFonts w:ascii="Times New Roman" w:hAnsi="Times New Roman" w:cs="Times New Roman"/>
                <w:b/>
                <w:bCs/>
                <w:sz w:val="44"/>
                <w:szCs w:val="44"/>
              </w:rPr>
              <w:t xml:space="preserve">for Communal Mourning </w:t>
            </w:r>
            <w:r w:rsidR="00D35A92" w:rsidRPr="00D35A92">
              <w:rPr>
                <w:rFonts w:ascii="Times New Roman" w:hAnsi="Times New Roman" w:cs="Times New Roman"/>
                <w:b/>
                <w:bCs/>
                <w:sz w:val="44"/>
                <w:szCs w:val="44"/>
              </w:rPr>
              <w:t>in the Greater Los Angeles Basin</w:t>
            </w:r>
          </w:p>
        </w:tc>
        <w:tc>
          <w:tcPr>
            <w:tcW w:w="6636" w:type="dxa"/>
          </w:tcPr>
          <w:p w:rsidR="00D35A92" w:rsidRDefault="00D35A92">
            <w:r>
              <w:t xml:space="preserve">Ethnographic and </w:t>
            </w:r>
            <w:proofErr w:type="spellStart"/>
            <w:r>
              <w:t>ethnohistoric</w:t>
            </w:r>
            <w:proofErr w:type="spellEnd"/>
            <w:r>
              <w:t xml:space="preserve"> data are used to develop expectations for communal mourning features in the archaeological record of the greater Los Angeles basin. This analysis establishes that such ritual was distinct from funerary activity at the time of death in both practice and meaning, and the material remains of communal mourning may be identified based on constituents, object condition, item placement, feature structure, and </w:t>
            </w:r>
            <w:proofErr w:type="spellStart"/>
            <w:r>
              <w:t>intrasite</w:t>
            </w:r>
            <w:proofErr w:type="spellEnd"/>
            <w:r>
              <w:t xml:space="preserve"> context. Diachronic changes in communal mourning revealed in the ethnographic and </w:t>
            </w:r>
            <w:proofErr w:type="spellStart"/>
            <w:r>
              <w:t>ethnohistoric</w:t>
            </w:r>
            <w:proofErr w:type="spellEnd"/>
            <w:r>
              <w:t xml:space="preserve"> record also suggest, however, that archaeological evidence of such practices in the distant past may not conform in all respects to expectations derived from written sources. Cross-cultural information </w:t>
            </w:r>
            <w:r>
              <w:lastRenderedPageBreak/>
              <w:t xml:space="preserve">on the place of public performances of mourning and remembrance within small-scale societies in California provides a context for future studies on the social significance of communal mourning in the distant past. </w:t>
            </w:r>
          </w:p>
        </w:tc>
      </w:tr>
      <w:tr w:rsidR="00F653F1" w:rsidTr="00A36DF2">
        <w:trPr>
          <w:trHeight w:val="1205"/>
        </w:trPr>
        <w:tc>
          <w:tcPr>
            <w:tcW w:w="6636" w:type="dxa"/>
          </w:tcPr>
          <w:p w:rsidR="00F653F1" w:rsidRPr="00D35A92" w:rsidRDefault="00F653F1" w:rsidP="00F653F1">
            <w:pPr>
              <w:rPr>
                <w:rFonts w:ascii="Times New Roman" w:hAnsi="Times New Roman" w:cs="Times New Roman"/>
                <w:b/>
                <w:bCs/>
                <w:sz w:val="44"/>
                <w:szCs w:val="44"/>
              </w:rPr>
            </w:pPr>
            <w:r>
              <w:rPr>
                <w:rFonts w:ascii="Times New Roman" w:hAnsi="Times New Roman" w:cs="Times New Roman"/>
                <w:b/>
                <w:bCs/>
                <w:sz w:val="44"/>
                <w:szCs w:val="44"/>
              </w:rPr>
              <w:lastRenderedPageBreak/>
              <w:t xml:space="preserve">Biological Continuity in the </w:t>
            </w:r>
            <w:r w:rsidRPr="00F653F1">
              <w:rPr>
                <w:rFonts w:ascii="Times New Roman" w:hAnsi="Times New Roman" w:cs="Times New Roman"/>
                <w:b/>
                <w:bCs/>
                <w:sz w:val="44"/>
                <w:szCs w:val="44"/>
              </w:rPr>
              <w:t>Central Valley:</w:t>
            </w:r>
            <w:r>
              <w:rPr>
                <w:rFonts w:ascii="Times New Roman" w:hAnsi="Times New Roman" w:cs="Times New Roman"/>
                <w:b/>
                <w:bCs/>
                <w:sz w:val="44"/>
                <w:szCs w:val="44"/>
              </w:rPr>
              <w:t xml:space="preserve"> </w:t>
            </w:r>
            <w:r w:rsidRPr="00F653F1">
              <w:rPr>
                <w:rFonts w:ascii="Times New Roman" w:hAnsi="Times New Roman" w:cs="Times New Roman"/>
                <w:b/>
                <w:bCs/>
                <w:sz w:val="44"/>
                <w:szCs w:val="44"/>
              </w:rPr>
              <w:t>Evidence from Ancient and Modern</w:t>
            </w:r>
            <w:r>
              <w:rPr>
                <w:rFonts w:ascii="Times New Roman" w:hAnsi="Times New Roman" w:cs="Times New Roman"/>
                <w:b/>
                <w:bCs/>
                <w:sz w:val="44"/>
                <w:szCs w:val="44"/>
              </w:rPr>
              <w:t xml:space="preserve"> </w:t>
            </w:r>
            <w:r w:rsidRPr="00F653F1">
              <w:rPr>
                <w:rFonts w:ascii="Times New Roman" w:hAnsi="Times New Roman" w:cs="Times New Roman"/>
                <w:b/>
                <w:bCs/>
                <w:sz w:val="44"/>
                <w:szCs w:val="44"/>
              </w:rPr>
              <w:t>Mitochondrial DNA</w:t>
            </w:r>
          </w:p>
        </w:tc>
        <w:tc>
          <w:tcPr>
            <w:tcW w:w="6636" w:type="dxa"/>
          </w:tcPr>
          <w:p w:rsidR="00F653F1" w:rsidRDefault="00F653F1">
            <w:r>
              <w:t xml:space="preserve">Previous comparisons of modern maternal genetic lineages with those obtained from Early and Middle Horizon burial sites suggested population discontinuity in the Central Valley. This result was interpreted as support for a later </w:t>
            </w:r>
            <w:proofErr w:type="spellStart"/>
            <w:r>
              <w:t>Penutian</w:t>
            </w:r>
            <w:proofErr w:type="spellEnd"/>
            <w:r>
              <w:t xml:space="preserve"> expansion. This study re=addresses the question of biological continuity in the Central Valley with more modern samples and attention to genetic variants that offer higher resolution. Ample evidence of biological continuity in the Central Valley is found. This includes evidence of a </w:t>
            </w:r>
            <w:proofErr w:type="spellStart"/>
            <w:r>
              <w:t>Yok-Utian</w:t>
            </w:r>
            <w:proofErr w:type="spellEnd"/>
            <w:r>
              <w:t xml:space="preserve"> population expansion. The estimated timing of this population expansion is consistent with the estimated time depth of the </w:t>
            </w:r>
            <w:proofErr w:type="spellStart"/>
            <w:r>
              <w:t>Yok-Utian</w:t>
            </w:r>
            <w:proofErr w:type="spellEnd"/>
            <w:r>
              <w:t xml:space="preserve"> language family and the appearance of the Early Horizon in the archaeological record. The inclusion of ancient and modern genetic samples from the Columbia Plateau and Great Basin motivated by evidence of cultural ties between these regions and the Central Valley, supports the hypothesis that the northwest Great Basin may have played a pivotal role in the spread of both genes and culture in the West.</w:t>
            </w:r>
          </w:p>
        </w:tc>
      </w:tr>
      <w:tr w:rsidR="00F653F1" w:rsidTr="00A36DF2">
        <w:trPr>
          <w:trHeight w:val="1205"/>
        </w:trPr>
        <w:tc>
          <w:tcPr>
            <w:tcW w:w="6636" w:type="dxa"/>
          </w:tcPr>
          <w:p w:rsidR="00F653F1" w:rsidRPr="00F653F1" w:rsidRDefault="00F653F1" w:rsidP="00F653F1">
            <w:pPr>
              <w:rPr>
                <w:rFonts w:ascii="Times New Roman" w:hAnsi="Times New Roman" w:cs="Times New Roman"/>
                <w:b/>
                <w:bCs/>
                <w:sz w:val="44"/>
                <w:szCs w:val="44"/>
              </w:rPr>
            </w:pPr>
            <w:r w:rsidRPr="00F653F1">
              <w:rPr>
                <w:rFonts w:ascii="Times New Roman" w:hAnsi="Times New Roman" w:cs="Times New Roman"/>
                <w:b/>
                <w:bCs/>
                <w:sz w:val="44"/>
                <w:szCs w:val="44"/>
              </w:rPr>
              <w:t>Changes in Marine Subsistence on</w:t>
            </w:r>
            <w:r>
              <w:rPr>
                <w:rFonts w:ascii="Times New Roman" w:hAnsi="Times New Roman" w:cs="Times New Roman"/>
                <w:b/>
                <w:bCs/>
                <w:sz w:val="44"/>
                <w:szCs w:val="44"/>
              </w:rPr>
              <w:t xml:space="preserve"> </w:t>
            </w:r>
            <w:r w:rsidRPr="00F653F1">
              <w:rPr>
                <w:rFonts w:ascii="Times New Roman" w:hAnsi="Times New Roman" w:cs="Times New Roman"/>
                <w:b/>
                <w:bCs/>
                <w:sz w:val="44"/>
                <w:szCs w:val="44"/>
              </w:rPr>
              <w:t>San Miguel Island from 8,500 to 2,400 Years Ago:</w:t>
            </w:r>
            <w:r>
              <w:rPr>
                <w:rFonts w:ascii="Times New Roman" w:hAnsi="Times New Roman" w:cs="Times New Roman"/>
                <w:b/>
                <w:bCs/>
                <w:sz w:val="44"/>
                <w:szCs w:val="44"/>
              </w:rPr>
              <w:t xml:space="preserve"> </w:t>
            </w:r>
            <w:r w:rsidRPr="00F653F1">
              <w:rPr>
                <w:rFonts w:ascii="Times New Roman" w:hAnsi="Times New Roman" w:cs="Times New Roman"/>
                <w:b/>
                <w:bCs/>
                <w:sz w:val="44"/>
                <w:szCs w:val="44"/>
              </w:rPr>
              <w:t>Analysis of Bulk Samples from</w:t>
            </w:r>
            <w:r>
              <w:rPr>
                <w:rFonts w:ascii="Times New Roman" w:hAnsi="Times New Roman" w:cs="Times New Roman"/>
                <w:b/>
                <w:bCs/>
                <w:sz w:val="44"/>
                <w:szCs w:val="44"/>
              </w:rPr>
              <w:t xml:space="preserve"> </w:t>
            </w:r>
            <w:r w:rsidRPr="00F653F1">
              <w:rPr>
                <w:rFonts w:ascii="Times New Roman" w:hAnsi="Times New Roman" w:cs="Times New Roman"/>
                <w:b/>
                <w:bCs/>
                <w:sz w:val="44"/>
                <w:szCs w:val="44"/>
              </w:rPr>
              <w:t>Cave of the Chimneys (CA-SMI-603)</w:t>
            </w:r>
          </w:p>
        </w:tc>
        <w:tc>
          <w:tcPr>
            <w:tcW w:w="6636" w:type="dxa"/>
          </w:tcPr>
          <w:p w:rsidR="00F653F1" w:rsidRDefault="00F653F1">
            <w:r>
              <w:t>We present a detailed faunal analysis of bulk samples excavated from Cave of Chimneys, located on the northeast coast of San Miguel Island. The site contains at least six discrete cultural components in a well-stratified and well-preserved sequence spanning roughly 6,000 years, from about 8,500 to 2,400 years ago. Although species composition and shellfish richness changed over time, rocky intertidal shellfish dominate the faunal assemblage. The Early Holocene strata predominantly consist of California mussels (</w:t>
            </w:r>
            <w:proofErr w:type="spellStart"/>
            <w:r>
              <w:t>Mytilus</w:t>
            </w:r>
            <w:proofErr w:type="spellEnd"/>
            <w:r>
              <w:t xml:space="preserve"> </w:t>
            </w:r>
            <w:proofErr w:type="spellStart"/>
            <w:r>
              <w:t>californianus</w:t>
            </w:r>
            <w:proofErr w:type="spellEnd"/>
            <w:r>
              <w:t xml:space="preserve">) with other species present in low numbers. The contribution of other shellfish taxa in the Middle Holocene strata greatly increases so that no single species dominates the assemblage. Fish remains are present throughout, but vary in abundance and dietary importance. We discuss these trans-Holocene patterns in the context of other San Miguel Island sites and general patterns of maritime subsistence developed for the </w:t>
            </w:r>
            <w:r>
              <w:lastRenderedPageBreak/>
              <w:t xml:space="preserve">Santa Barbara Channel region. </w:t>
            </w:r>
          </w:p>
        </w:tc>
      </w:tr>
      <w:tr w:rsidR="00F653F1" w:rsidTr="00A36DF2">
        <w:trPr>
          <w:trHeight w:val="1205"/>
        </w:trPr>
        <w:tc>
          <w:tcPr>
            <w:tcW w:w="6636" w:type="dxa"/>
          </w:tcPr>
          <w:p w:rsidR="00F653F1" w:rsidRPr="00F653F1" w:rsidRDefault="00F653F1" w:rsidP="00F653F1">
            <w:pPr>
              <w:rPr>
                <w:rFonts w:ascii="Times New Roman" w:hAnsi="Times New Roman" w:cs="Times New Roman"/>
                <w:b/>
                <w:bCs/>
                <w:sz w:val="44"/>
                <w:szCs w:val="44"/>
              </w:rPr>
            </w:pPr>
            <w:r w:rsidRPr="00F653F1">
              <w:rPr>
                <w:rFonts w:ascii="Times New Roman" w:hAnsi="Times New Roman" w:cs="Times New Roman"/>
                <w:b/>
                <w:bCs/>
                <w:sz w:val="44"/>
                <w:szCs w:val="44"/>
              </w:rPr>
              <w:lastRenderedPageBreak/>
              <w:t xml:space="preserve">The Age of the San </w:t>
            </w:r>
            <w:proofErr w:type="spellStart"/>
            <w:r w:rsidRPr="00F653F1">
              <w:rPr>
                <w:rFonts w:ascii="Times New Roman" w:hAnsi="Times New Roman" w:cs="Times New Roman"/>
                <w:b/>
                <w:bCs/>
                <w:sz w:val="44"/>
                <w:szCs w:val="44"/>
              </w:rPr>
              <w:t>Dieguito</w:t>
            </w:r>
            <w:proofErr w:type="spellEnd"/>
            <w:r>
              <w:rPr>
                <w:rFonts w:ascii="Times New Roman" w:hAnsi="Times New Roman" w:cs="Times New Roman"/>
                <w:b/>
                <w:bCs/>
                <w:sz w:val="44"/>
                <w:szCs w:val="44"/>
              </w:rPr>
              <w:t xml:space="preserve"> </w:t>
            </w:r>
            <w:r w:rsidRPr="00F653F1">
              <w:rPr>
                <w:rFonts w:ascii="Times New Roman" w:hAnsi="Times New Roman" w:cs="Times New Roman"/>
                <w:b/>
                <w:bCs/>
                <w:sz w:val="44"/>
                <w:szCs w:val="44"/>
              </w:rPr>
              <w:t>Artifact Assemblage at the</w:t>
            </w:r>
            <w:r>
              <w:rPr>
                <w:rFonts w:ascii="Times New Roman" w:hAnsi="Times New Roman" w:cs="Times New Roman"/>
                <w:b/>
                <w:bCs/>
                <w:sz w:val="44"/>
                <w:szCs w:val="44"/>
              </w:rPr>
              <w:t xml:space="preserve"> </w:t>
            </w:r>
            <w:r w:rsidRPr="00F653F1">
              <w:rPr>
                <w:rFonts w:ascii="Times New Roman" w:hAnsi="Times New Roman" w:cs="Times New Roman"/>
                <w:b/>
                <w:bCs/>
                <w:sz w:val="44"/>
                <w:szCs w:val="44"/>
              </w:rPr>
              <w:t>C. W. Harris Site</w:t>
            </w:r>
          </w:p>
        </w:tc>
        <w:tc>
          <w:tcPr>
            <w:tcW w:w="6636" w:type="dxa"/>
          </w:tcPr>
          <w:p w:rsidR="00F653F1" w:rsidRDefault="009007A0" w:rsidP="009007A0">
            <w:r>
              <w:t xml:space="preserve">The age of some San </w:t>
            </w:r>
            <w:proofErr w:type="spellStart"/>
            <w:r>
              <w:t>Dieguito</w:t>
            </w:r>
            <w:proofErr w:type="spellEnd"/>
            <w:r>
              <w:t xml:space="preserve"> artifacts at the C. W. Harris Site is shown </w:t>
            </w:r>
            <w:proofErr w:type="spellStart"/>
            <w:r>
              <w:t>stratigraphically</w:t>
            </w:r>
            <w:proofErr w:type="spellEnd"/>
            <w:r>
              <w:t xml:space="preserve"> to be older than 9,030 (11,222 to 9,322) B.P. The artifacts associated with dates of 8,490 (10,561 to 8,540) B.P. may have been </w:t>
            </w:r>
            <w:proofErr w:type="spellStart"/>
            <w:r>
              <w:t>redeposited</w:t>
            </w:r>
            <w:proofErr w:type="spellEnd"/>
            <w:r>
              <w:t xml:space="preserve"> with the gravel and sand in which they were found, and may be older than 8,490 (10,561 to 8,540) B.P. The San </w:t>
            </w:r>
            <w:proofErr w:type="spellStart"/>
            <w:r>
              <w:t>Dieguito</w:t>
            </w:r>
            <w:proofErr w:type="spellEnd"/>
            <w:r>
              <w:t xml:space="preserve">-bearing deposit, Stratum E, is divided into three Units: EI, EII, and EIII. EI contains undisturbed San </w:t>
            </w:r>
            <w:proofErr w:type="spellStart"/>
            <w:r>
              <w:t>Dieguito</w:t>
            </w:r>
            <w:proofErr w:type="spellEnd"/>
            <w:r>
              <w:t xml:space="preserve"> artifacts and features located in coarse and fine sands overlaying gravel and sand deposits. Unit EII is composed of the fill of Channel 1, which cuts through the undisturbed San </w:t>
            </w:r>
            <w:proofErr w:type="spellStart"/>
            <w:r>
              <w:t>Dieguito</w:t>
            </w:r>
            <w:proofErr w:type="spellEnd"/>
            <w:r>
              <w:t xml:space="preserve"> level in Unit EI. Channel I fill consists of gravel and sand strata containing </w:t>
            </w:r>
            <w:proofErr w:type="spellStart"/>
            <w:r>
              <w:t>redeposited</w:t>
            </w:r>
            <w:proofErr w:type="spellEnd"/>
            <w:r>
              <w:t xml:space="preserve"> San </w:t>
            </w:r>
            <w:proofErr w:type="spellStart"/>
            <w:r>
              <w:t>Dieguito</w:t>
            </w:r>
            <w:proofErr w:type="spellEnd"/>
            <w:r>
              <w:t xml:space="preserve"> artifacts. A radiocarbon date of 9,030 (11,222 to 9,322) B.P. was obtained from a stratum in coarse sands overlying the stream deposits of Channel 1. Unit EIII is Channel 2, cut into the edge of Channel 1 in Unit EII. The boundary between EII and EIII is an erosion surface which rises toward the east, just 20 cm. above the location where the date of 9,030 (11,222 to 9,322) B.P. was obtained. Channel 2 was cut to bedrock and filled with three gravel and sand strata containing San </w:t>
            </w:r>
            <w:proofErr w:type="spellStart"/>
            <w:r>
              <w:t>Dieguito</w:t>
            </w:r>
            <w:proofErr w:type="spellEnd"/>
            <w:r>
              <w:t xml:space="preserve"> artifacts. Two dates of 8,490 (10,561 to 8,540) B.P. were obtained on charcoal from the middle stratum. Warren and True (1961) believed a charcoal lens from this stratum was a hearth, evidence of human occupation at 8,490 (10,560 to 8,540) B.P., but this now seems unlikely. The San </w:t>
            </w:r>
            <w:proofErr w:type="spellStart"/>
            <w:r>
              <w:t>Dieguito</w:t>
            </w:r>
            <w:proofErr w:type="spellEnd"/>
            <w:r>
              <w:t xml:space="preserve"> occupation at the C. W. Harris Site began sometime prior to 9,030 (11,222 to 9,322) B.P. and may have persisted to ca. 8,540 (10,561 to 8,540) B.P.</w:t>
            </w:r>
          </w:p>
        </w:tc>
      </w:tr>
      <w:tr w:rsidR="009007A0" w:rsidTr="00A36DF2">
        <w:trPr>
          <w:trHeight w:val="1205"/>
        </w:trPr>
        <w:tc>
          <w:tcPr>
            <w:tcW w:w="6636" w:type="dxa"/>
          </w:tcPr>
          <w:p w:rsidR="009007A0" w:rsidRPr="009007A0" w:rsidRDefault="009007A0" w:rsidP="009007A0">
            <w:pPr>
              <w:rPr>
                <w:rFonts w:ascii="Times New Roman" w:hAnsi="Times New Roman" w:cs="Times New Roman"/>
                <w:b/>
                <w:bCs/>
                <w:sz w:val="44"/>
                <w:szCs w:val="44"/>
              </w:rPr>
            </w:pPr>
            <w:r w:rsidRPr="009007A0">
              <w:rPr>
                <w:rFonts w:ascii="Times New Roman" w:hAnsi="Times New Roman" w:cs="Times New Roman"/>
                <w:b/>
                <w:bCs/>
                <w:sz w:val="44"/>
                <w:szCs w:val="44"/>
              </w:rPr>
              <w:t>’</w:t>
            </w:r>
            <w:proofErr w:type="spellStart"/>
            <w:r w:rsidRPr="009007A0">
              <w:rPr>
                <w:rFonts w:ascii="Times New Roman" w:hAnsi="Times New Roman" w:cs="Times New Roman"/>
                <w:b/>
                <w:bCs/>
                <w:i/>
                <w:iCs/>
                <w:sz w:val="44"/>
                <w:szCs w:val="44"/>
              </w:rPr>
              <w:t>Awi</w:t>
            </w:r>
            <w:proofErr w:type="spellEnd"/>
            <w:r w:rsidRPr="009007A0">
              <w:rPr>
                <w:rFonts w:ascii="Times New Roman" w:hAnsi="Times New Roman" w:cs="Times New Roman"/>
                <w:b/>
                <w:bCs/>
                <w:i/>
                <w:iCs/>
                <w:sz w:val="44"/>
                <w:szCs w:val="44"/>
              </w:rPr>
              <w:t xml:space="preserve"> </w:t>
            </w:r>
            <w:proofErr w:type="spellStart"/>
            <w:r w:rsidRPr="009007A0">
              <w:rPr>
                <w:rFonts w:ascii="Times New Roman" w:hAnsi="Times New Roman" w:cs="Times New Roman"/>
                <w:b/>
                <w:bCs/>
                <w:i/>
                <w:iCs/>
                <w:sz w:val="44"/>
                <w:szCs w:val="44"/>
              </w:rPr>
              <w:t>Kuseyaay</w:t>
            </w:r>
            <w:proofErr w:type="spellEnd"/>
            <w:r w:rsidRPr="009007A0">
              <w:rPr>
                <w:rFonts w:ascii="Times New Roman" w:hAnsi="Times New Roman" w:cs="Times New Roman"/>
                <w:b/>
                <w:bCs/>
                <w:sz w:val="44"/>
                <w:szCs w:val="44"/>
              </w:rPr>
              <w:t>: The Ringing</w:t>
            </w:r>
          </w:p>
          <w:p w:rsidR="009007A0" w:rsidRPr="00F653F1" w:rsidRDefault="009007A0" w:rsidP="009007A0">
            <w:pPr>
              <w:rPr>
                <w:rFonts w:ascii="Times New Roman" w:hAnsi="Times New Roman" w:cs="Times New Roman"/>
                <w:b/>
                <w:bCs/>
                <w:sz w:val="44"/>
                <w:szCs w:val="44"/>
              </w:rPr>
            </w:pPr>
            <w:r w:rsidRPr="009007A0">
              <w:rPr>
                <w:rFonts w:ascii="Times New Roman" w:hAnsi="Times New Roman" w:cs="Times New Roman"/>
                <w:b/>
                <w:bCs/>
                <w:sz w:val="44"/>
                <w:szCs w:val="44"/>
              </w:rPr>
              <w:t>Rock of San Bernardo</w:t>
            </w:r>
          </w:p>
        </w:tc>
        <w:tc>
          <w:tcPr>
            <w:tcW w:w="6636" w:type="dxa"/>
          </w:tcPr>
          <w:p w:rsidR="009007A0" w:rsidRDefault="009007A0" w:rsidP="009007A0">
            <w:r>
              <w:t xml:space="preserve">Ringing rocks were, and still are, an important part of the cultural landscape for the </w:t>
            </w:r>
            <w:proofErr w:type="spellStart"/>
            <w:r>
              <w:t>Kumeyaay</w:t>
            </w:r>
            <w:proofErr w:type="spellEnd"/>
            <w:r>
              <w:t xml:space="preserve"> people of San Diego County. This report discusses the anthropological and historical documentation that is available concerning one such “ringing rock” or “bell rock” in the San Pasqual Valley, and describes its recent relocation within the valley. </w:t>
            </w:r>
          </w:p>
        </w:tc>
      </w:tr>
      <w:tr w:rsidR="009007A0" w:rsidTr="00A36DF2">
        <w:trPr>
          <w:trHeight w:val="1205"/>
        </w:trPr>
        <w:tc>
          <w:tcPr>
            <w:tcW w:w="6636" w:type="dxa"/>
          </w:tcPr>
          <w:p w:rsidR="009007A0" w:rsidRPr="009007A0" w:rsidRDefault="009007A0" w:rsidP="009007A0">
            <w:pPr>
              <w:rPr>
                <w:rFonts w:ascii="Times New Roman" w:hAnsi="Times New Roman" w:cs="Times New Roman"/>
                <w:b/>
                <w:bCs/>
                <w:sz w:val="44"/>
                <w:szCs w:val="44"/>
              </w:rPr>
            </w:pPr>
            <w:r w:rsidRPr="009007A0">
              <w:rPr>
                <w:rFonts w:ascii="Times New Roman" w:hAnsi="Times New Roman" w:cs="Times New Roman"/>
                <w:b/>
                <w:bCs/>
                <w:sz w:val="44"/>
                <w:szCs w:val="44"/>
              </w:rPr>
              <w:lastRenderedPageBreak/>
              <w:t>LOST AND FOUND</w:t>
            </w:r>
          </w:p>
        </w:tc>
        <w:tc>
          <w:tcPr>
            <w:tcW w:w="6636" w:type="dxa"/>
          </w:tcPr>
          <w:p w:rsidR="009007A0" w:rsidRDefault="009007A0" w:rsidP="009007A0">
            <w:r>
              <w:t xml:space="preserve">The birth of California archaeology and the systematic exploration of California’s past can arguably be traced to the 1870s and (to a large extent) to the work of three very different men – Stephen Bowers, León de </w:t>
            </w:r>
            <w:proofErr w:type="spellStart"/>
            <w:r>
              <w:t>Cessac</w:t>
            </w:r>
            <w:proofErr w:type="spellEnd"/>
            <w:r>
              <w:t xml:space="preserve">, and Paul Schumacher. All three carried out the majority of their excavations primarily on the Channel Islands and along the Santa Barbara coast, and all three generated extensive, often poorly studied collections that are presently curated in institutions largely outside of California. </w:t>
            </w:r>
          </w:p>
          <w:p w:rsidR="009007A0" w:rsidRDefault="009007A0" w:rsidP="009007A0">
            <w:r>
              <w:t xml:space="preserve">By modern standards, Schumacher could arguably be considered the most influential and technically competent of the three – during the eight-year span of his active career in California, he produced a number of significant contributions in major international venues that achieved wide recognition and were illustrated by meticulously-rendered maps and drawings of the sites he excavated and some of the artifacts he recovered. Most of Schumacher’s papers are available in translation, are well-known, and are frequently cited in the literature; the brief article presented here is an exception, in that it does not seem to have ever been reprinted or cited by local scholars. It was originally published in the </w:t>
            </w:r>
            <w:r>
              <w:rPr>
                <w:i/>
              </w:rPr>
              <w:t>Popular Science Monthly</w:t>
            </w:r>
            <w:r w:rsidR="00AA1F77">
              <w:t xml:space="preserve"> [10:353-56,</w:t>
            </w:r>
            <w:r>
              <w:t>1877</w:t>
            </w:r>
            <w:r w:rsidR="00AA1F77">
              <w:t>].</w:t>
            </w:r>
          </w:p>
          <w:p w:rsidR="00AA1F77" w:rsidRDefault="00AA1F77" w:rsidP="009007A0">
            <w:r>
              <w:t xml:space="preserve">The second item presented below (in translation) is a brief notice of Schumacher’s death that appeared in the Revue </w:t>
            </w:r>
            <w:proofErr w:type="spellStart"/>
            <w:r>
              <w:t>d’ethnographie</w:t>
            </w:r>
            <w:proofErr w:type="spellEnd"/>
            <w:r>
              <w:t xml:space="preserve"> de Paris [3:461</w:t>
            </w:r>
            <w:proofErr w:type="gramStart"/>
            <w:r>
              <w:t>,1885</w:t>
            </w:r>
            <w:proofErr w:type="gramEnd"/>
            <w:r>
              <w:t xml:space="preserve">]; it explains his sudden, seemingly inexplicable disappearance from the intellectual scene, and provides some interesting details about his life. Strangely, his death appears to have gone largely unremarked by the majority of his contemporaries, and none of the scholarly journals to which he contributed appear to have been aware of his passing. </w:t>
            </w:r>
          </w:p>
          <w:p w:rsidR="00AA1F77" w:rsidRPr="009007A0" w:rsidRDefault="00AA1F77" w:rsidP="009007A0">
            <w:r>
              <w:t xml:space="preserve">The final item presented here is a list of Schumacher’s presently known publications. Hopefully, it may help inspire the kind of biographical attention that Paul Schumacher’s life and scholarly contributions so richly deserve. </w:t>
            </w:r>
          </w:p>
        </w:tc>
      </w:tr>
      <w:tr w:rsidR="009007A0" w:rsidTr="00A36DF2">
        <w:trPr>
          <w:trHeight w:val="1205"/>
        </w:trPr>
        <w:tc>
          <w:tcPr>
            <w:tcW w:w="6636" w:type="dxa"/>
          </w:tcPr>
          <w:p w:rsidR="009007A0" w:rsidRPr="00AA1F77" w:rsidRDefault="00AA1F77" w:rsidP="00AA1F77">
            <w:pPr>
              <w:rPr>
                <w:rFonts w:ascii="Times New Roman" w:hAnsi="Times New Roman" w:cs="Times New Roman"/>
                <w:b/>
                <w:bCs/>
                <w:iCs/>
                <w:sz w:val="44"/>
                <w:szCs w:val="44"/>
              </w:rPr>
            </w:pPr>
            <w:r w:rsidRPr="00AA1F77">
              <w:rPr>
                <w:rFonts w:ascii="Times New Roman" w:hAnsi="Times New Roman" w:cs="Times New Roman"/>
                <w:b/>
                <w:bCs/>
                <w:iCs/>
                <w:sz w:val="44"/>
                <w:szCs w:val="44"/>
              </w:rPr>
              <w:lastRenderedPageBreak/>
              <w:t>Seeking Our Past: An</w:t>
            </w:r>
            <w:r>
              <w:rPr>
                <w:rFonts w:ascii="Times New Roman" w:hAnsi="Times New Roman" w:cs="Times New Roman"/>
                <w:b/>
                <w:bCs/>
                <w:iCs/>
                <w:sz w:val="44"/>
                <w:szCs w:val="44"/>
              </w:rPr>
              <w:t xml:space="preserve"> </w:t>
            </w:r>
            <w:r w:rsidRPr="00AA1F77">
              <w:rPr>
                <w:rFonts w:ascii="Times New Roman" w:hAnsi="Times New Roman" w:cs="Times New Roman"/>
                <w:b/>
                <w:bCs/>
                <w:iCs/>
                <w:sz w:val="44"/>
                <w:szCs w:val="44"/>
              </w:rPr>
              <w:t>Introduction to North</w:t>
            </w:r>
            <w:r>
              <w:rPr>
                <w:rFonts w:ascii="Times New Roman" w:hAnsi="Times New Roman" w:cs="Times New Roman"/>
                <w:b/>
                <w:bCs/>
                <w:iCs/>
                <w:sz w:val="44"/>
                <w:szCs w:val="44"/>
              </w:rPr>
              <w:t xml:space="preserve"> </w:t>
            </w:r>
            <w:r w:rsidRPr="00AA1F77">
              <w:rPr>
                <w:rFonts w:ascii="Times New Roman" w:hAnsi="Times New Roman" w:cs="Times New Roman"/>
                <w:b/>
                <w:bCs/>
                <w:iCs/>
                <w:sz w:val="44"/>
                <w:szCs w:val="44"/>
              </w:rPr>
              <w:t>American Archaeology</w:t>
            </w:r>
          </w:p>
        </w:tc>
        <w:tc>
          <w:tcPr>
            <w:tcW w:w="6636" w:type="dxa"/>
          </w:tcPr>
          <w:p w:rsidR="009007A0" w:rsidRPr="00AA1F77" w:rsidRDefault="00AA1F77" w:rsidP="009007A0">
            <w:r>
              <w:t xml:space="preserve">Summarizing the archaeology of a geographic region is a daunting task. There are obvious tradeoffs between presenting summaries and interpretations of geographic and diachronic variation and presenting primary data or case studies. Attempting this for a continent, especially one as varied as North America, is a monumental task. Sarah </w:t>
            </w:r>
            <w:proofErr w:type="spellStart"/>
            <w:r>
              <w:t>Neusius</w:t>
            </w:r>
            <w:proofErr w:type="spellEnd"/>
            <w:r>
              <w:t xml:space="preserve"> and Timothy Gross have done an impressive amount of research for </w:t>
            </w:r>
            <w:r>
              <w:rPr>
                <w:i/>
              </w:rPr>
              <w:t xml:space="preserve">Seeking Our Past, </w:t>
            </w:r>
            <w:r>
              <w:t xml:space="preserve">a text aimed at students in North American archaeology classes. The book, at nearly 700 pages of text, is obviously not a brief summary of trends in prehistory. Indeed, it is an extensive discussion of both prehistoric and historical archaeology, from essentially Casas </w:t>
            </w:r>
            <w:proofErr w:type="spellStart"/>
            <w:r>
              <w:t>Grandes</w:t>
            </w:r>
            <w:proofErr w:type="spellEnd"/>
            <w:r>
              <w:t xml:space="preserve"> north. If the text is not enough, a bonus CD contains nearly 300 pages of additional materials that did not make the main text. The CD covers topics such as the history of study in North America, field and lab methods, additional case studies and profiles of archaeologists, the full bibliography of references, and a study guide with questions for students, among other items</w:t>
            </w:r>
          </w:p>
        </w:tc>
      </w:tr>
      <w:tr w:rsidR="00AA1F77" w:rsidTr="00A36DF2">
        <w:trPr>
          <w:trHeight w:val="1205"/>
        </w:trPr>
        <w:tc>
          <w:tcPr>
            <w:tcW w:w="6636" w:type="dxa"/>
          </w:tcPr>
          <w:p w:rsidR="00AA1F77" w:rsidRPr="00AA1F77" w:rsidRDefault="00AA1F77" w:rsidP="00AA1F77">
            <w:pPr>
              <w:rPr>
                <w:rFonts w:ascii="Times New Roman" w:hAnsi="Times New Roman" w:cs="Times New Roman"/>
                <w:b/>
                <w:bCs/>
                <w:iCs/>
                <w:sz w:val="44"/>
                <w:szCs w:val="44"/>
              </w:rPr>
            </w:pPr>
            <w:r w:rsidRPr="00AA1F77">
              <w:rPr>
                <w:rFonts w:ascii="Times New Roman" w:hAnsi="Times New Roman" w:cs="Times New Roman"/>
                <w:b/>
                <w:bCs/>
                <w:iCs/>
                <w:sz w:val="44"/>
                <w:szCs w:val="44"/>
              </w:rPr>
              <w:t>Island of Fogs: Archaeological</w:t>
            </w:r>
          </w:p>
          <w:p w:rsidR="00AA1F77" w:rsidRPr="00AA1F77" w:rsidRDefault="00AA1F77" w:rsidP="00AA1F77">
            <w:pPr>
              <w:rPr>
                <w:rFonts w:ascii="Times New Roman" w:hAnsi="Times New Roman" w:cs="Times New Roman"/>
                <w:b/>
                <w:bCs/>
                <w:iCs/>
                <w:sz w:val="44"/>
                <w:szCs w:val="44"/>
              </w:rPr>
            </w:pPr>
            <w:r w:rsidRPr="00AA1F77">
              <w:rPr>
                <w:rFonts w:ascii="Times New Roman" w:hAnsi="Times New Roman" w:cs="Times New Roman"/>
                <w:b/>
                <w:bCs/>
                <w:iCs/>
                <w:sz w:val="44"/>
                <w:szCs w:val="44"/>
              </w:rPr>
              <w:t xml:space="preserve">and </w:t>
            </w:r>
            <w:proofErr w:type="spellStart"/>
            <w:r w:rsidRPr="00AA1F77">
              <w:rPr>
                <w:rFonts w:ascii="Times New Roman" w:hAnsi="Times New Roman" w:cs="Times New Roman"/>
                <w:b/>
                <w:bCs/>
                <w:iCs/>
                <w:sz w:val="44"/>
                <w:szCs w:val="44"/>
              </w:rPr>
              <w:t>Ethnohistorical</w:t>
            </w:r>
            <w:proofErr w:type="spellEnd"/>
          </w:p>
          <w:p w:rsidR="00AA1F77" w:rsidRPr="00AA1F77" w:rsidRDefault="00AA1F77" w:rsidP="00AA1F77">
            <w:pPr>
              <w:rPr>
                <w:rFonts w:ascii="Times New Roman" w:hAnsi="Times New Roman" w:cs="Times New Roman"/>
                <w:b/>
                <w:bCs/>
                <w:iCs/>
                <w:sz w:val="44"/>
                <w:szCs w:val="44"/>
              </w:rPr>
            </w:pPr>
            <w:r w:rsidRPr="00AA1F77">
              <w:rPr>
                <w:rFonts w:ascii="Times New Roman" w:hAnsi="Times New Roman" w:cs="Times New Roman"/>
                <w:b/>
                <w:bCs/>
                <w:iCs/>
                <w:sz w:val="44"/>
                <w:szCs w:val="44"/>
              </w:rPr>
              <w:t xml:space="preserve">Investigations of Isla </w:t>
            </w:r>
            <w:proofErr w:type="spellStart"/>
            <w:r w:rsidRPr="00AA1F77">
              <w:rPr>
                <w:rFonts w:ascii="Times New Roman" w:hAnsi="Times New Roman" w:cs="Times New Roman"/>
                <w:b/>
                <w:bCs/>
                <w:iCs/>
                <w:sz w:val="44"/>
                <w:szCs w:val="44"/>
              </w:rPr>
              <w:t>Cedros</w:t>
            </w:r>
            <w:proofErr w:type="spellEnd"/>
            <w:r w:rsidRPr="00AA1F77">
              <w:rPr>
                <w:rFonts w:ascii="Times New Roman" w:hAnsi="Times New Roman" w:cs="Times New Roman"/>
                <w:b/>
                <w:bCs/>
                <w:iCs/>
                <w:sz w:val="44"/>
                <w:szCs w:val="44"/>
              </w:rPr>
              <w:t>,</w:t>
            </w:r>
          </w:p>
          <w:p w:rsidR="00AA1F77" w:rsidRPr="00AA1F77" w:rsidRDefault="00AA1F77" w:rsidP="00AA1F77">
            <w:pPr>
              <w:rPr>
                <w:rFonts w:ascii="Times New Roman" w:hAnsi="Times New Roman" w:cs="Times New Roman"/>
                <w:b/>
                <w:bCs/>
                <w:iCs/>
                <w:sz w:val="44"/>
                <w:szCs w:val="44"/>
              </w:rPr>
            </w:pPr>
            <w:r w:rsidRPr="00AA1F77">
              <w:rPr>
                <w:rFonts w:ascii="Times New Roman" w:hAnsi="Times New Roman" w:cs="Times New Roman"/>
                <w:b/>
                <w:bCs/>
                <w:iCs/>
                <w:sz w:val="44"/>
                <w:szCs w:val="44"/>
              </w:rPr>
              <w:t>Baja California</w:t>
            </w:r>
          </w:p>
        </w:tc>
        <w:tc>
          <w:tcPr>
            <w:tcW w:w="6636" w:type="dxa"/>
          </w:tcPr>
          <w:p w:rsidR="00AA1F77" w:rsidRPr="00AA1F77" w:rsidRDefault="00AA1F77" w:rsidP="009007A0">
            <w:r>
              <w:t xml:space="preserve">Archaeological studies in Baja California have been undergoing something of a florescence during the last few years. Much of this work still resides in conference papers and journal articles, as well as in unpublished theses, dissertations, and governmental </w:t>
            </w:r>
            <w:proofErr w:type="spellStart"/>
            <w:r>
              <w:rPr>
                <w:i/>
              </w:rPr>
              <w:t>informes</w:t>
            </w:r>
            <w:proofErr w:type="spellEnd"/>
            <w:r>
              <w:t xml:space="preserve">. Matt Des </w:t>
            </w:r>
            <w:proofErr w:type="spellStart"/>
            <w:r>
              <w:t>Lauriers</w:t>
            </w:r>
            <w:proofErr w:type="spellEnd"/>
            <w:r>
              <w:t xml:space="preserve">; impressive monograph on Isla </w:t>
            </w:r>
            <w:proofErr w:type="spellStart"/>
            <w:r>
              <w:t>Cedros</w:t>
            </w:r>
            <w:proofErr w:type="spellEnd"/>
            <w:r>
              <w:t xml:space="preserve"> is a significant landmark, being one of the few book-length reports published on the subject, joining the recent Spanish-language studies by Rosales-</w:t>
            </w:r>
            <w:proofErr w:type="spellStart"/>
            <w:r>
              <w:t>López</w:t>
            </w:r>
            <w:proofErr w:type="spellEnd"/>
            <w:r>
              <w:t xml:space="preserve"> and Fujita (2000) and by Gutiérrez and Hyland (2002). </w:t>
            </w:r>
          </w:p>
        </w:tc>
      </w:tr>
      <w:tr w:rsidR="00AA1F77" w:rsidTr="00A36DF2">
        <w:trPr>
          <w:trHeight w:val="1205"/>
        </w:trPr>
        <w:tc>
          <w:tcPr>
            <w:tcW w:w="6636" w:type="dxa"/>
          </w:tcPr>
          <w:p w:rsidR="00AA1F77" w:rsidRPr="00AA1F77" w:rsidRDefault="00AA1F77" w:rsidP="00AA1F77">
            <w:pPr>
              <w:rPr>
                <w:rFonts w:ascii="Times New Roman" w:hAnsi="Times New Roman" w:cs="Times New Roman"/>
                <w:b/>
                <w:bCs/>
                <w:iCs/>
                <w:sz w:val="44"/>
                <w:szCs w:val="44"/>
              </w:rPr>
            </w:pPr>
            <w:r w:rsidRPr="00AA1F77">
              <w:rPr>
                <w:rFonts w:ascii="Times New Roman" w:hAnsi="Times New Roman" w:cs="Times New Roman"/>
                <w:b/>
                <w:bCs/>
                <w:iCs/>
                <w:sz w:val="44"/>
                <w:szCs w:val="44"/>
              </w:rPr>
              <w:t>California Maritime</w:t>
            </w:r>
          </w:p>
          <w:p w:rsidR="00AA1F77" w:rsidRPr="00AA1F77" w:rsidRDefault="00AA1F77" w:rsidP="00AA1F77">
            <w:pPr>
              <w:rPr>
                <w:rFonts w:ascii="Times New Roman" w:hAnsi="Times New Roman" w:cs="Times New Roman"/>
                <w:b/>
                <w:bCs/>
                <w:iCs/>
                <w:sz w:val="44"/>
                <w:szCs w:val="44"/>
              </w:rPr>
            </w:pPr>
            <w:r w:rsidRPr="00AA1F77">
              <w:rPr>
                <w:rFonts w:ascii="Times New Roman" w:hAnsi="Times New Roman" w:cs="Times New Roman"/>
                <w:b/>
                <w:bCs/>
                <w:iCs/>
                <w:sz w:val="44"/>
                <w:szCs w:val="44"/>
              </w:rPr>
              <w:t>Archaeology: A San Clemente</w:t>
            </w:r>
          </w:p>
          <w:p w:rsidR="00AA1F77" w:rsidRPr="00AA1F77" w:rsidRDefault="00AA1F77" w:rsidP="00AA1F77">
            <w:pPr>
              <w:rPr>
                <w:rFonts w:ascii="Times New Roman" w:hAnsi="Times New Roman" w:cs="Times New Roman"/>
                <w:b/>
                <w:bCs/>
                <w:iCs/>
                <w:sz w:val="44"/>
                <w:szCs w:val="44"/>
              </w:rPr>
            </w:pPr>
            <w:r w:rsidRPr="00AA1F77">
              <w:rPr>
                <w:rFonts w:ascii="Times New Roman" w:hAnsi="Times New Roman" w:cs="Times New Roman"/>
                <w:b/>
                <w:bCs/>
                <w:iCs/>
                <w:sz w:val="44"/>
                <w:szCs w:val="44"/>
              </w:rPr>
              <w:t>Island Perspective</w:t>
            </w:r>
          </w:p>
        </w:tc>
        <w:tc>
          <w:tcPr>
            <w:tcW w:w="6636" w:type="dxa"/>
          </w:tcPr>
          <w:p w:rsidR="00AA1F77" w:rsidRDefault="00AA1F77" w:rsidP="009007A0">
            <w:r>
              <w:t xml:space="preserve">As the title suggests, this book provides a synthesis of the spectacular 9,000-year archaeological record of San Clemente Island. San Clemente Island is the most southerly and remote of the eight Channel Islands, and is located approximately 50 miles from the mainland. In stark contrast to the rich kelp forests that surround much of the island, its dominant characteristic is the semi-arid, rock-strewn landscape, interspersed with sparse vegetation. Exempt from the ravages of burrowing animals, San Clemente’s site deposits allow researchers to reconstruct cultural patterns with a comparatively higher degree of detail, confidence, and chronological resolution than on mainland </w:t>
            </w:r>
            <w:r>
              <w:lastRenderedPageBreak/>
              <w:t xml:space="preserve">California. A combination of adequate funding, a long-term effective management program, a rich archaeological record, and exceptional preservation has truly created a “California Galapagos” for the study of coastal prehistory. </w:t>
            </w:r>
          </w:p>
        </w:tc>
      </w:tr>
      <w:tr w:rsidR="00AA1F77" w:rsidTr="00A36DF2">
        <w:trPr>
          <w:trHeight w:val="1205"/>
        </w:trPr>
        <w:tc>
          <w:tcPr>
            <w:tcW w:w="6636" w:type="dxa"/>
          </w:tcPr>
          <w:p w:rsidR="00AA1F77" w:rsidRPr="00AA1F77" w:rsidRDefault="00AA1F77" w:rsidP="00AA1F77">
            <w:pPr>
              <w:rPr>
                <w:rFonts w:ascii="Times New Roman" w:hAnsi="Times New Roman" w:cs="Times New Roman"/>
                <w:b/>
                <w:bCs/>
                <w:iCs/>
                <w:sz w:val="44"/>
                <w:szCs w:val="44"/>
              </w:rPr>
            </w:pPr>
            <w:r w:rsidRPr="00AA1F77">
              <w:rPr>
                <w:rFonts w:ascii="Times New Roman" w:hAnsi="Times New Roman" w:cs="Times New Roman"/>
                <w:b/>
                <w:bCs/>
                <w:iCs/>
                <w:sz w:val="44"/>
                <w:szCs w:val="44"/>
              </w:rPr>
              <w:lastRenderedPageBreak/>
              <w:t>Archaeology Without</w:t>
            </w:r>
          </w:p>
          <w:p w:rsidR="00AA1F77" w:rsidRPr="00AA1F77" w:rsidRDefault="00AA1F77" w:rsidP="00AA1F77">
            <w:pPr>
              <w:rPr>
                <w:rFonts w:ascii="Times New Roman" w:hAnsi="Times New Roman" w:cs="Times New Roman"/>
                <w:b/>
                <w:bCs/>
                <w:iCs/>
                <w:sz w:val="44"/>
                <w:szCs w:val="44"/>
              </w:rPr>
            </w:pPr>
            <w:r w:rsidRPr="00AA1F77">
              <w:rPr>
                <w:rFonts w:ascii="Times New Roman" w:hAnsi="Times New Roman" w:cs="Times New Roman"/>
                <w:b/>
                <w:bCs/>
                <w:iCs/>
                <w:sz w:val="44"/>
                <w:szCs w:val="44"/>
              </w:rPr>
              <w:t>Limits: Papers in Honor</w:t>
            </w:r>
          </w:p>
          <w:p w:rsidR="00AA1F77" w:rsidRPr="00AA1F77" w:rsidRDefault="00AA1F77" w:rsidP="00AA1F77">
            <w:pPr>
              <w:rPr>
                <w:rFonts w:ascii="Times New Roman" w:hAnsi="Times New Roman" w:cs="Times New Roman"/>
                <w:b/>
                <w:bCs/>
                <w:iCs/>
                <w:sz w:val="44"/>
                <w:szCs w:val="44"/>
              </w:rPr>
            </w:pPr>
            <w:r w:rsidRPr="00AA1F77">
              <w:rPr>
                <w:rFonts w:ascii="Times New Roman" w:hAnsi="Times New Roman" w:cs="Times New Roman"/>
                <w:b/>
                <w:bCs/>
                <w:iCs/>
                <w:sz w:val="44"/>
                <w:szCs w:val="44"/>
              </w:rPr>
              <w:t xml:space="preserve">of Clement W. </w:t>
            </w:r>
            <w:proofErr w:type="spellStart"/>
            <w:r w:rsidRPr="00AA1F77">
              <w:rPr>
                <w:rFonts w:ascii="Times New Roman" w:hAnsi="Times New Roman" w:cs="Times New Roman"/>
                <w:b/>
                <w:bCs/>
                <w:iCs/>
                <w:sz w:val="44"/>
                <w:szCs w:val="44"/>
              </w:rPr>
              <w:t>Meighan</w:t>
            </w:r>
            <w:proofErr w:type="spellEnd"/>
          </w:p>
        </w:tc>
        <w:tc>
          <w:tcPr>
            <w:tcW w:w="6636" w:type="dxa"/>
          </w:tcPr>
          <w:p w:rsidR="00AA1F77" w:rsidRDefault="007557F7" w:rsidP="009007A0">
            <w:r>
              <w:t xml:space="preserve">This volume is a </w:t>
            </w:r>
            <w:proofErr w:type="spellStart"/>
            <w:r>
              <w:t>Festchrift</w:t>
            </w:r>
            <w:proofErr w:type="spellEnd"/>
            <w:r>
              <w:t xml:space="preserve"> for Clement W. </w:t>
            </w:r>
            <w:proofErr w:type="spellStart"/>
            <w:r>
              <w:t>Meighan</w:t>
            </w:r>
            <w:proofErr w:type="spellEnd"/>
            <w:r>
              <w:t xml:space="preserve">, with chapters written by a diverse range of anthropologists and archaeologists whose lives he touched as a scholar, teacher, and field researcher. Beginning with his archaeological </w:t>
            </w:r>
            <w:proofErr w:type="spellStart"/>
            <w:r>
              <w:t>studieds</w:t>
            </w:r>
            <w:proofErr w:type="spellEnd"/>
            <w:r>
              <w:t xml:space="preserve"> at U.C. Berkeley in the late 1940s and early 1950s, and continuing as a professor and administrator at U.C.L.A. from 1952 until his retirement in 1991, </w:t>
            </w:r>
            <w:proofErr w:type="spellStart"/>
            <w:r>
              <w:t>Meighan</w:t>
            </w:r>
            <w:proofErr w:type="spellEnd"/>
            <w:r>
              <w:t xml:space="preserve"> has been widely recognized for the significant contributions he made to the </w:t>
            </w:r>
            <w:proofErr w:type="spellStart"/>
            <w:r>
              <w:t>deveoloping</w:t>
            </w:r>
            <w:proofErr w:type="spellEnd"/>
            <w:r>
              <w:t xml:space="preserve"> fields of California and West Mexico archaeology. What is less known about his professional trajectory is the breadth of archaeological work he conducted in other areas of Mexico and in various regions </w:t>
            </w:r>
            <w:proofErr w:type="spellStart"/>
            <w:r>
              <w:t>fo</w:t>
            </w:r>
            <w:proofErr w:type="spellEnd"/>
            <w:r>
              <w:t xml:space="preserve"> the world, including Chile, Peru, Nubia, Guam, Costa Rica, and Syria. In organizing and editing the </w:t>
            </w:r>
            <w:proofErr w:type="spellStart"/>
            <w:r>
              <w:t>Festchrift</w:t>
            </w:r>
            <w:proofErr w:type="spellEnd"/>
            <w:r>
              <w:t xml:space="preserve">, Dillon and </w:t>
            </w:r>
            <w:proofErr w:type="spellStart"/>
            <w:r>
              <w:t>Boxt</w:t>
            </w:r>
            <w:proofErr w:type="spellEnd"/>
            <w:r>
              <w:t xml:space="preserve"> have maintained the far-reaching and somewhat eclectic interests of </w:t>
            </w:r>
            <w:proofErr w:type="spellStart"/>
            <w:r>
              <w:t>Meighan</w:t>
            </w:r>
            <w:proofErr w:type="spellEnd"/>
            <w:r>
              <w:t xml:space="preserve"> by including a diverse assortment of papers that concern archaeological investigations from around the world. </w:t>
            </w:r>
            <w:bookmarkStart w:id="0" w:name="_GoBack"/>
            <w:bookmarkEnd w:id="0"/>
          </w:p>
        </w:tc>
      </w:tr>
    </w:tbl>
    <w:p w:rsidR="00530870" w:rsidRDefault="00530870"/>
    <w:sectPr w:rsidR="00530870" w:rsidSect="00A36DF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A36DF2"/>
    <w:rsid w:val="001C57CC"/>
    <w:rsid w:val="004759E6"/>
    <w:rsid w:val="00530870"/>
    <w:rsid w:val="006C2669"/>
    <w:rsid w:val="007557F7"/>
    <w:rsid w:val="009007A0"/>
    <w:rsid w:val="00A36DF2"/>
    <w:rsid w:val="00AA1F77"/>
    <w:rsid w:val="00D35A92"/>
    <w:rsid w:val="00F6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7CC"/>
    <w:pPr>
      <w:spacing w:after="0" w:line="240" w:lineRule="auto"/>
    </w:pPr>
  </w:style>
  <w:style w:type="table" w:styleId="TableGrid">
    <w:name w:val="Table Grid"/>
    <w:basedOn w:val="TableNormal"/>
    <w:uiPriority w:val="59"/>
    <w:rsid w:val="00A3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ILL</cp:lastModifiedBy>
  <cp:revision>3</cp:revision>
  <dcterms:created xsi:type="dcterms:W3CDTF">2012-09-13T16:09:00Z</dcterms:created>
  <dcterms:modified xsi:type="dcterms:W3CDTF">2012-09-14T17:07:00Z</dcterms:modified>
</cp:coreProperties>
</file>