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72" w:type="dxa"/>
        <w:tblLook w:val="04A0" w:firstRow="1" w:lastRow="0" w:firstColumn="1" w:lastColumn="0" w:noHBand="0" w:noVBand="1"/>
      </w:tblPr>
      <w:tblGrid>
        <w:gridCol w:w="6636"/>
        <w:gridCol w:w="6636"/>
      </w:tblGrid>
      <w:tr w:rsidR="00A36DF2" w:rsidTr="00A36DF2">
        <w:trPr>
          <w:trHeight w:val="385"/>
        </w:trPr>
        <w:tc>
          <w:tcPr>
            <w:tcW w:w="6636" w:type="dxa"/>
          </w:tcPr>
          <w:p w:rsidR="00A36DF2" w:rsidRDefault="00A36DF2">
            <w:r>
              <w:t>Article Title</w:t>
            </w:r>
          </w:p>
        </w:tc>
        <w:tc>
          <w:tcPr>
            <w:tcW w:w="6636" w:type="dxa"/>
          </w:tcPr>
          <w:p w:rsidR="00A36DF2" w:rsidRDefault="00A36DF2">
            <w:r>
              <w:t>Abstract</w:t>
            </w:r>
          </w:p>
        </w:tc>
      </w:tr>
      <w:tr w:rsidR="00A36DF2" w:rsidTr="00A36DF2">
        <w:trPr>
          <w:trHeight w:val="1205"/>
        </w:trPr>
        <w:tc>
          <w:tcPr>
            <w:tcW w:w="6636" w:type="dxa"/>
          </w:tcPr>
          <w:p w:rsidR="00A36DF2" w:rsidRDefault="00CE7970">
            <w:r>
              <w:rPr>
                <w:rFonts w:ascii="TimesTenLTStd-Bold" w:hAnsi="TimesTenLTStd-Bold" w:cs="TimesTenLTStd-Bold"/>
                <w:b/>
                <w:bCs/>
                <w:sz w:val="44"/>
                <w:szCs w:val="44"/>
              </w:rPr>
              <w:t>Contextualizing Baja California</w:t>
            </w:r>
          </w:p>
        </w:tc>
        <w:tc>
          <w:tcPr>
            <w:tcW w:w="6636" w:type="dxa"/>
          </w:tcPr>
          <w:p w:rsidR="00CE7970" w:rsidRDefault="00CE7970" w:rsidP="00CE7970">
            <w:pPr>
              <w:autoSpaceDE w:val="0"/>
              <w:autoSpaceDN w:val="0"/>
              <w:adjustRightInd w:val="0"/>
              <w:rPr>
                <w:rFonts w:ascii="TimesTenLTStd-Roman" w:hAnsi="TimesTenLTStd-Roman" w:cs="TimesTenLTStd-Roman"/>
                <w:sz w:val="20"/>
                <w:szCs w:val="20"/>
              </w:rPr>
            </w:pPr>
            <w:r>
              <w:rPr>
                <w:rFonts w:ascii="TimesTenLTStd-Roman" w:hAnsi="TimesTenLTStd-Roman" w:cs="TimesTenLTStd-Roman"/>
                <w:sz w:val="20"/>
                <w:szCs w:val="20"/>
              </w:rPr>
              <w:t xml:space="preserve">Early European explorers and missionaries who first set foot in Baja California described the peninsula as a harsh environment, filled with “savage” tribes of  simplistic people (see </w:t>
            </w:r>
            <w:proofErr w:type="spellStart"/>
            <w:r>
              <w:rPr>
                <w:rFonts w:ascii="TimesTenLTStd-Roman" w:hAnsi="TimesTenLTStd-Roman" w:cs="TimesTenLTStd-Roman"/>
                <w:sz w:val="20"/>
                <w:szCs w:val="20"/>
              </w:rPr>
              <w:t>Laylander</w:t>
            </w:r>
            <w:proofErr w:type="spellEnd"/>
            <w:r>
              <w:rPr>
                <w:rFonts w:ascii="TimesTenLTStd-Roman" w:hAnsi="TimesTenLTStd-Roman" w:cs="TimesTenLTStd-Roman"/>
                <w:sz w:val="20"/>
                <w:szCs w:val="20"/>
              </w:rPr>
              <w:t xml:space="preserve"> 2000:96 –100). These early explorers typically arrived in Baja California by way of Mesoamerica, and their views on the simplicity of the peninsular cultures were undoubtedly influenced by </w:t>
            </w:r>
            <w:proofErr w:type="gramStart"/>
            <w:r>
              <w:rPr>
                <w:rFonts w:ascii="TimesTenLTStd-Roman" w:hAnsi="TimesTenLTStd-Roman" w:cs="TimesTenLTStd-Roman"/>
                <w:sz w:val="20"/>
                <w:szCs w:val="20"/>
              </w:rPr>
              <w:t>the  monumental</w:t>
            </w:r>
            <w:proofErr w:type="gramEnd"/>
            <w:r>
              <w:rPr>
                <w:rFonts w:ascii="TimesTenLTStd-Roman" w:hAnsi="TimesTenLTStd-Roman" w:cs="TimesTenLTStd-Roman"/>
                <w:sz w:val="20"/>
                <w:szCs w:val="20"/>
              </w:rPr>
              <w:t xml:space="preserve"> architecture, agriculture, and robust material culture of the   Mesoamericans. Written accounts of these first explorations have influenced</w:t>
            </w:r>
          </w:p>
          <w:p w:rsidR="00CE7970" w:rsidRDefault="00CE7970" w:rsidP="00CE7970">
            <w:pPr>
              <w:autoSpaceDE w:val="0"/>
              <w:autoSpaceDN w:val="0"/>
              <w:adjustRightInd w:val="0"/>
              <w:rPr>
                <w:rFonts w:ascii="TimesTenLTStd-Roman" w:hAnsi="TimesTenLTStd-Roman" w:cs="TimesTenLTStd-Roman"/>
                <w:sz w:val="20"/>
                <w:szCs w:val="20"/>
              </w:rPr>
            </w:pPr>
            <w:r>
              <w:rPr>
                <w:rFonts w:ascii="TimesTenLTStd-Roman" w:hAnsi="TimesTenLTStd-Roman" w:cs="TimesTenLTStd-Roman"/>
                <w:sz w:val="20"/>
                <w:szCs w:val="20"/>
              </w:rPr>
              <w:t>perceptions of the peninsula and its inhabitants for generations, apparently leaving many researchers to consider the region as nothing more than a vast</w:t>
            </w:r>
          </w:p>
          <w:p w:rsidR="00CE7970" w:rsidRDefault="00CE7970" w:rsidP="00CE7970">
            <w:pPr>
              <w:autoSpaceDE w:val="0"/>
              <w:autoSpaceDN w:val="0"/>
              <w:adjustRightInd w:val="0"/>
              <w:rPr>
                <w:rFonts w:ascii="TimesTenLTStd-Roman" w:hAnsi="TimesTenLTStd-Roman" w:cs="TimesTenLTStd-Roman"/>
                <w:sz w:val="20"/>
                <w:szCs w:val="20"/>
              </w:rPr>
            </w:pPr>
            <w:proofErr w:type="gramStart"/>
            <w:r>
              <w:rPr>
                <w:rFonts w:ascii="TimesTenLTStd-Roman" w:hAnsi="TimesTenLTStd-Roman" w:cs="TimesTenLTStd-Roman"/>
                <w:sz w:val="20"/>
                <w:szCs w:val="20"/>
              </w:rPr>
              <w:t>desert</w:t>
            </w:r>
            <w:proofErr w:type="gramEnd"/>
            <w:r>
              <w:rPr>
                <w:rFonts w:ascii="TimesTenLTStd-Roman" w:hAnsi="TimesTenLTStd-Roman" w:cs="TimesTenLTStd-Roman"/>
                <w:sz w:val="20"/>
                <w:szCs w:val="20"/>
              </w:rPr>
              <w:t>, as uncomplicated in its cultural landscape as it is in its ecological landscape. The hunter-gatherer-fisher groups living in Baja California were overshadowed by their Mesoamerican neighbors and were left virtually</w:t>
            </w:r>
          </w:p>
          <w:p w:rsidR="00A36DF2" w:rsidRDefault="00CE7970" w:rsidP="00CE7970">
            <w:proofErr w:type="gramStart"/>
            <w:r>
              <w:rPr>
                <w:rFonts w:ascii="TimesTenLTStd-Roman" w:hAnsi="TimesTenLTStd-Roman" w:cs="TimesTenLTStd-Roman"/>
                <w:sz w:val="20"/>
                <w:szCs w:val="20"/>
              </w:rPr>
              <w:t>unstudied</w:t>
            </w:r>
            <w:proofErr w:type="gramEnd"/>
            <w:r>
              <w:rPr>
                <w:rFonts w:ascii="TimesTenLTStd-Roman" w:hAnsi="TimesTenLTStd-Roman" w:cs="TimesTenLTStd-Roman"/>
                <w:sz w:val="20"/>
                <w:szCs w:val="20"/>
              </w:rPr>
              <w:t xml:space="preserve"> for decades.</w:t>
            </w:r>
          </w:p>
        </w:tc>
      </w:tr>
      <w:tr w:rsidR="00CE7970" w:rsidTr="00A36DF2">
        <w:trPr>
          <w:trHeight w:val="1205"/>
        </w:trPr>
        <w:tc>
          <w:tcPr>
            <w:tcW w:w="6636" w:type="dxa"/>
          </w:tcPr>
          <w:p w:rsidR="00CE7970" w:rsidRDefault="00CE7970" w:rsidP="00CE7970">
            <w:pPr>
              <w:autoSpaceDE w:val="0"/>
              <w:autoSpaceDN w:val="0"/>
              <w:adjustRightInd w:val="0"/>
              <w:rPr>
                <w:rFonts w:ascii="TimesTenLTStd-Bold" w:hAnsi="TimesTenLTStd-Bold" w:cs="TimesTenLTStd-Bold"/>
                <w:b/>
                <w:bCs/>
                <w:sz w:val="44"/>
                <w:szCs w:val="44"/>
              </w:rPr>
            </w:pPr>
            <w:r>
              <w:rPr>
                <w:rFonts w:ascii="TimesTenLTStd-Bold" w:hAnsi="TimesTenLTStd-Bold" w:cs="TimesTenLTStd-Bold"/>
                <w:b/>
                <w:bCs/>
                <w:sz w:val="44"/>
                <w:szCs w:val="44"/>
              </w:rPr>
              <w:t xml:space="preserve">A Shell </w:t>
            </w:r>
            <w:proofErr w:type="spellStart"/>
            <w:r>
              <w:rPr>
                <w:rFonts w:ascii="TimesTenLTStd-Bold" w:hAnsi="TimesTenLTStd-Bold" w:cs="TimesTenLTStd-Bold"/>
                <w:b/>
                <w:bCs/>
                <w:sz w:val="44"/>
                <w:szCs w:val="44"/>
              </w:rPr>
              <w:t>Midden</w:t>
            </w:r>
            <w:proofErr w:type="spellEnd"/>
            <w:r>
              <w:rPr>
                <w:rFonts w:ascii="TimesTenLTStd-Bold" w:hAnsi="TimesTenLTStd-Bold" w:cs="TimesTenLTStd-Bold"/>
                <w:b/>
                <w:bCs/>
                <w:sz w:val="44"/>
                <w:szCs w:val="44"/>
              </w:rPr>
              <w:t xml:space="preserve"> in the Upper Gulf of California:</w:t>
            </w:r>
          </w:p>
          <w:p w:rsidR="00CE7970" w:rsidRDefault="00CE7970" w:rsidP="00CE7970">
            <w:pPr>
              <w:autoSpaceDE w:val="0"/>
              <w:autoSpaceDN w:val="0"/>
              <w:adjustRightInd w:val="0"/>
              <w:rPr>
                <w:rFonts w:ascii="TimesTenLTStd-Bold" w:hAnsi="TimesTenLTStd-Bold" w:cs="TimesTenLTStd-Bold"/>
                <w:b/>
                <w:bCs/>
                <w:sz w:val="44"/>
                <w:szCs w:val="44"/>
              </w:rPr>
            </w:pPr>
            <w:r>
              <w:rPr>
                <w:rFonts w:ascii="TimesTenLTStd-Bold" w:hAnsi="TimesTenLTStd-Bold" w:cs="TimesTenLTStd-Bold"/>
                <w:b/>
                <w:bCs/>
                <w:sz w:val="44"/>
                <w:szCs w:val="44"/>
              </w:rPr>
              <w:t>Challenging the Paradigms of Isolation</w:t>
            </w:r>
          </w:p>
          <w:p w:rsidR="00CE7970" w:rsidRDefault="00CE7970" w:rsidP="00CE7970">
            <w:pPr>
              <w:rPr>
                <w:rFonts w:ascii="TimesTenLTStd-Bold" w:hAnsi="TimesTenLTStd-Bold" w:cs="TimesTenLTStd-Bold"/>
                <w:b/>
                <w:bCs/>
                <w:sz w:val="44"/>
                <w:szCs w:val="44"/>
              </w:rPr>
            </w:pPr>
            <w:proofErr w:type="gramStart"/>
            <w:r>
              <w:rPr>
                <w:rFonts w:ascii="TimesTenLTStd-Bold" w:hAnsi="TimesTenLTStd-Bold" w:cs="TimesTenLTStd-Bold"/>
                <w:b/>
                <w:bCs/>
                <w:sz w:val="44"/>
                <w:szCs w:val="44"/>
              </w:rPr>
              <w:t>and</w:t>
            </w:r>
            <w:proofErr w:type="gramEnd"/>
            <w:r>
              <w:rPr>
                <w:rFonts w:ascii="TimesTenLTStd-Bold" w:hAnsi="TimesTenLTStd-Bold" w:cs="TimesTenLTStd-Bold"/>
                <w:b/>
                <w:bCs/>
                <w:sz w:val="44"/>
                <w:szCs w:val="44"/>
              </w:rPr>
              <w:t xml:space="preserve"> Marginalization?</w:t>
            </w:r>
          </w:p>
        </w:tc>
        <w:tc>
          <w:tcPr>
            <w:tcW w:w="6636" w:type="dxa"/>
          </w:tcPr>
          <w:p w:rsidR="00CE7970" w:rsidRPr="00280A4B" w:rsidRDefault="00CE7970" w:rsidP="00CE7970">
            <w:pPr>
              <w:autoSpaceDE w:val="0"/>
              <w:autoSpaceDN w:val="0"/>
              <w:adjustRightInd w:val="0"/>
              <w:rPr>
                <w:rFonts w:ascii="TimesTenLTStd-Italic" w:hAnsi="TimesTenLTStd-Italic" w:cs="TimesTenLTStd-Italic"/>
                <w:iCs/>
                <w:sz w:val="20"/>
                <w:szCs w:val="20"/>
              </w:rPr>
            </w:pPr>
            <w:r w:rsidRPr="00280A4B">
              <w:rPr>
                <w:rFonts w:ascii="TimesTenLTStd-Italic" w:hAnsi="TimesTenLTStd-Italic" w:cs="TimesTenLTStd-Italic"/>
                <w:iCs/>
                <w:sz w:val="20"/>
                <w:szCs w:val="20"/>
              </w:rPr>
              <w:t>The archaeological site known as “El Faro” is located in the upper Gulf of California region of the Baja California peninsula. Archaeological work within this area of Baja California has been limited, and the investigation presented</w:t>
            </w:r>
          </w:p>
          <w:p w:rsidR="00CE7970" w:rsidRDefault="00CE7970" w:rsidP="00CE7970">
            <w:pPr>
              <w:autoSpaceDE w:val="0"/>
              <w:autoSpaceDN w:val="0"/>
              <w:adjustRightInd w:val="0"/>
              <w:rPr>
                <w:rFonts w:ascii="TimesTenLTStd-Roman" w:hAnsi="TimesTenLTStd-Roman" w:cs="TimesTenLTStd-Roman"/>
                <w:sz w:val="20"/>
                <w:szCs w:val="20"/>
              </w:rPr>
            </w:pPr>
            <w:proofErr w:type="gramStart"/>
            <w:r w:rsidRPr="00280A4B">
              <w:rPr>
                <w:rFonts w:ascii="TimesTenLTStd-Italic" w:hAnsi="TimesTenLTStd-Italic" w:cs="TimesTenLTStd-Italic"/>
                <w:iCs/>
                <w:sz w:val="20"/>
                <w:szCs w:val="20"/>
              </w:rPr>
              <w:t>in</w:t>
            </w:r>
            <w:proofErr w:type="gramEnd"/>
            <w:r w:rsidRPr="00280A4B">
              <w:rPr>
                <w:rFonts w:ascii="TimesTenLTStd-Italic" w:hAnsi="TimesTenLTStd-Italic" w:cs="TimesTenLTStd-Italic"/>
                <w:iCs/>
                <w:sz w:val="20"/>
                <w:szCs w:val="20"/>
              </w:rPr>
              <w:t xml:space="preserve"> this article is the most extensive to date in the region. This research, combining surface reconnaissance with three field seasons of excavation, has yielded data that allow for the reconstruction of the subsistence patterns of the site’s inhabitants through time. Additionally, we have been able to establish that the late occupation inhabitants of the El Faro site had a system of exchange with neighboring </w:t>
            </w:r>
            <w:proofErr w:type="spellStart"/>
            <w:r w:rsidRPr="00280A4B">
              <w:rPr>
                <w:rFonts w:ascii="TimesTenLTStd-Italic" w:hAnsi="TimesTenLTStd-Italic" w:cs="TimesTenLTStd-Italic"/>
                <w:iCs/>
                <w:sz w:val="20"/>
                <w:szCs w:val="20"/>
              </w:rPr>
              <w:t>Yuman</w:t>
            </w:r>
            <w:proofErr w:type="spellEnd"/>
            <w:r w:rsidRPr="00280A4B">
              <w:rPr>
                <w:rFonts w:ascii="TimesTenLTStd-Italic" w:hAnsi="TimesTenLTStd-Italic" w:cs="TimesTenLTStd-Italic"/>
                <w:iCs/>
                <w:sz w:val="20"/>
                <w:szCs w:val="20"/>
              </w:rPr>
              <w:t xml:space="preserve"> regions. The subsistence and trade evidence together allows us to comment on the proposed isolation and marginalization of the prehistoric groups in Baja California.</w:t>
            </w:r>
          </w:p>
        </w:tc>
      </w:tr>
      <w:tr w:rsidR="00C17F9B" w:rsidTr="00A36DF2">
        <w:trPr>
          <w:trHeight w:val="1205"/>
        </w:trPr>
        <w:tc>
          <w:tcPr>
            <w:tcW w:w="6636" w:type="dxa"/>
          </w:tcPr>
          <w:p w:rsidR="007B64B0" w:rsidRPr="007B64B0" w:rsidRDefault="007B64B0" w:rsidP="007B64B0">
            <w:pPr>
              <w:autoSpaceDE w:val="0"/>
              <w:autoSpaceDN w:val="0"/>
              <w:adjustRightInd w:val="0"/>
              <w:rPr>
                <w:rFonts w:ascii="TimesTenLTStd-Bold" w:hAnsi="TimesTenLTStd-Bold" w:cs="TimesTenLTStd-Bold"/>
                <w:b/>
                <w:bCs/>
                <w:sz w:val="44"/>
                <w:szCs w:val="44"/>
              </w:rPr>
            </w:pPr>
            <w:r w:rsidRPr="007B64B0">
              <w:rPr>
                <w:rFonts w:ascii="TimesTenLTStd-Bold" w:hAnsi="TimesTenLTStd-Bold" w:cs="TimesTenLTStd-Bold"/>
                <w:b/>
                <w:bCs/>
                <w:sz w:val="44"/>
                <w:szCs w:val="44"/>
              </w:rPr>
              <w:t xml:space="preserve">Prehistoric Occupation of </w:t>
            </w:r>
            <w:proofErr w:type="spellStart"/>
            <w:r w:rsidRPr="007B64B0">
              <w:rPr>
                <w:rFonts w:ascii="TimesTenLTStd-Bold" w:hAnsi="TimesTenLTStd-Bold" w:cs="TimesTenLTStd-Bold"/>
                <w:b/>
                <w:bCs/>
                <w:sz w:val="44"/>
                <w:szCs w:val="44"/>
              </w:rPr>
              <w:t>Espíritu</w:t>
            </w:r>
            <w:proofErr w:type="spellEnd"/>
            <w:r w:rsidRPr="007B64B0">
              <w:rPr>
                <w:rFonts w:ascii="TimesTenLTStd-Bold" w:hAnsi="TimesTenLTStd-Bold" w:cs="TimesTenLTStd-Bold"/>
                <w:b/>
                <w:bCs/>
                <w:sz w:val="44"/>
                <w:szCs w:val="44"/>
              </w:rPr>
              <w:t xml:space="preserve"> Santo Island,</w:t>
            </w:r>
          </w:p>
          <w:p w:rsidR="007B64B0" w:rsidRPr="007B64B0" w:rsidRDefault="007B64B0" w:rsidP="007B64B0">
            <w:pPr>
              <w:autoSpaceDE w:val="0"/>
              <w:autoSpaceDN w:val="0"/>
              <w:adjustRightInd w:val="0"/>
              <w:rPr>
                <w:rFonts w:ascii="TimesTenLTStd-Bold" w:hAnsi="TimesTenLTStd-Bold" w:cs="TimesTenLTStd-Bold"/>
                <w:b/>
                <w:bCs/>
                <w:sz w:val="44"/>
                <w:szCs w:val="44"/>
              </w:rPr>
            </w:pPr>
            <w:r w:rsidRPr="007B64B0">
              <w:rPr>
                <w:rFonts w:ascii="TimesTenLTStd-Bold" w:hAnsi="TimesTenLTStd-Bold" w:cs="TimesTenLTStd-Bold"/>
                <w:b/>
                <w:bCs/>
                <w:sz w:val="44"/>
                <w:szCs w:val="44"/>
              </w:rPr>
              <w:t>Baja California Sur, Mexico:</w:t>
            </w:r>
          </w:p>
          <w:p w:rsidR="00C17F9B" w:rsidRDefault="007B64B0" w:rsidP="007B64B0">
            <w:pPr>
              <w:autoSpaceDE w:val="0"/>
              <w:autoSpaceDN w:val="0"/>
              <w:adjustRightInd w:val="0"/>
              <w:rPr>
                <w:rFonts w:ascii="TimesTenLTStd-Bold" w:hAnsi="TimesTenLTStd-Bold" w:cs="TimesTenLTStd-Bold"/>
                <w:b/>
                <w:bCs/>
                <w:sz w:val="44"/>
                <w:szCs w:val="44"/>
              </w:rPr>
            </w:pPr>
            <w:r w:rsidRPr="007B64B0">
              <w:rPr>
                <w:rFonts w:ascii="TimesTenLTStd-Bold" w:hAnsi="TimesTenLTStd-Bold" w:cs="TimesTenLTStd-Bold"/>
                <w:b/>
                <w:bCs/>
                <w:sz w:val="44"/>
                <w:szCs w:val="44"/>
              </w:rPr>
              <w:t>Update and Synthesis</w:t>
            </w:r>
          </w:p>
        </w:tc>
        <w:tc>
          <w:tcPr>
            <w:tcW w:w="6636" w:type="dxa"/>
          </w:tcPr>
          <w:p w:rsidR="007B64B0" w:rsidRPr="007B64B0" w:rsidRDefault="007B64B0" w:rsidP="007B64B0">
            <w:pPr>
              <w:autoSpaceDE w:val="0"/>
              <w:autoSpaceDN w:val="0"/>
              <w:adjustRightInd w:val="0"/>
              <w:rPr>
                <w:rFonts w:ascii="TimesTenLTStd-Italic" w:hAnsi="TimesTenLTStd-Italic" w:cs="TimesTenLTStd-Italic"/>
                <w:iCs/>
                <w:sz w:val="20"/>
                <w:szCs w:val="20"/>
              </w:rPr>
            </w:pPr>
            <w:r w:rsidRPr="007B64B0">
              <w:rPr>
                <w:rFonts w:ascii="TimesTenLTStd-Italic" w:hAnsi="TimesTenLTStd-Italic" w:cs="TimesTenLTStd-Italic"/>
                <w:iCs/>
                <w:sz w:val="20"/>
                <w:szCs w:val="20"/>
              </w:rPr>
              <w:t xml:space="preserve">Excavations conducted between 1996 and 2006 at 30 sites on </w:t>
            </w:r>
            <w:proofErr w:type="spellStart"/>
            <w:r w:rsidRPr="007B64B0">
              <w:rPr>
                <w:rFonts w:ascii="TimesTenLTStd-Italic" w:hAnsi="TimesTenLTStd-Italic" w:cs="TimesTenLTStd-Italic"/>
                <w:iCs/>
                <w:sz w:val="20"/>
                <w:szCs w:val="20"/>
              </w:rPr>
              <w:t>Espíritu</w:t>
            </w:r>
            <w:proofErr w:type="spellEnd"/>
            <w:r w:rsidRPr="007B64B0">
              <w:rPr>
                <w:rFonts w:ascii="TimesTenLTStd-Italic" w:hAnsi="TimesTenLTStd-Italic" w:cs="TimesTenLTStd-Italic"/>
                <w:iCs/>
                <w:sz w:val="20"/>
                <w:szCs w:val="20"/>
              </w:rPr>
              <w:t xml:space="preserve"> Santo and La </w:t>
            </w:r>
            <w:proofErr w:type="spellStart"/>
            <w:r w:rsidRPr="007B64B0">
              <w:rPr>
                <w:rFonts w:ascii="TimesTenLTStd-Italic" w:hAnsi="TimesTenLTStd-Italic" w:cs="TimesTenLTStd-Italic"/>
                <w:iCs/>
                <w:sz w:val="20"/>
                <w:szCs w:val="20"/>
              </w:rPr>
              <w:t>Partida</w:t>
            </w:r>
            <w:proofErr w:type="spellEnd"/>
            <w:r w:rsidRPr="007B64B0">
              <w:rPr>
                <w:rFonts w:ascii="TimesTenLTStd-Italic" w:hAnsi="TimesTenLTStd-Italic" w:cs="TimesTenLTStd-Italic"/>
                <w:iCs/>
                <w:sz w:val="20"/>
                <w:szCs w:val="20"/>
              </w:rPr>
              <w:t xml:space="preserve"> islands in Baja California</w:t>
            </w:r>
            <w:r>
              <w:rPr>
                <w:rFonts w:ascii="TimesTenLTStd-Italic" w:hAnsi="TimesTenLTStd-Italic" w:cs="TimesTenLTStd-Italic"/>
                <w:iCs/>
                <w:sz w:val="20"/>
                <w:szCs w:val="20"/>
              </w:rPr>
              <w:t xml:space="preserve"> </w:t>
            </w:r>
            <w:r w:rsidRPr="007B64B0">
              <w:rPr>
                <w:rFonts w:ascii="TimesTenLTStd-Italic" w:hAnsi="TimesTenLTStd-Italic" w:cs="TimesTenLTStd-Italic"/>
                <w:iCs/>
                <w:sz w:val="20"/>
                <w:szCs w:val="20"/>
              </w:rPr>
              <w:t xml:space="preserve">Sur, Mexico, reveal a long record of cultural occupation with shell </w:t>
            </w:r>
            <w:proofErr w:type="spellStart"/>
            <w:r w:rsidRPr="007B64B0">
              <w:rPr>
                <w:rFonts w:ascii="TimesTenLTStd-Italic" w:hAnsi="TimesTenLTStd-Italic" w:cs="TimesTenLTStd-Italic"/>
                <w:iCs/>
                <w:sz w:val="20"/>
                <w:szCs w:val="20"/>
              </w:rPr>
              <w:t>middens</w:t>
            </w:r>
            <w:proofErr w:type="spellEnd"/>
            <w:r w:rsidRPr="007B64B0">
              <w:rPr>
                <w:rFonts w:ascii="TimesTenLTStd-Italic" w:hAnsi="TimesTenLTStd-Italic" w:cs="TimesTenLTStd-Italic"/>
                <w:iCs/>
                <w:sz w:val="20"/>
                <w:szCs w:val="20"/>
              </w:rPr>
              <w:t xml:space="preserve"> located in caves, </w:t>
            </w:r>
            <w:proofErr w:type="spellStart"/>
            <w:r w:rsidRPr="007B64B0">
              <w:rPr>
                <w:rFonts w:ascii="TimesTenLTStd-Italic" w:hAnsi="TimesTenLTStd-Italic" w:cs="TimesTenLTStd-Italic"/>
                <w:iCs/>
                <w:sz w:val="20"/>
                <w:szCs w:val="20"/>
              </w:rPr>
              <w:t>rockshelters</w:t>
            </w:r>
            <w:proofErr w:type="spellEnd"/>
            <w:r w:rsidRPr="007B64B0">
              <w:rPr>
                <w:rFonts w:ascii="TimesTenLTStd-Italic" w:hAnsi="TimesTenLTStd-Italic" w:cs="TimesTenLTStd-Italic"/>
                <w:iCs/>
                <w:sz w:val="20"/>
                <w:szCs w:val="20"/>
              </w:rPr>
              <w:t>, and on</w:t>
            </w:r>
          </w:p>
          <w:p w:rsidR="007B64B0" w:rsidRPr="007B64B0" w:rsidRDefault="007B64B0" w:rsidP="007B64B0">
            <w:pPr>
              <w:autoSpaceDE w:val="0"/>
              <w:autoSpaceDN w:val="0"/>
              <w:adjustRightInd w:val="0"/>
              <w:rPr>
                <w:rFonts w:ascii="TimesTenLTStd-Italic" w:hAnsi="TimesTenLTStd-Italic" w:cs="TimesTenLTStd-Italic"/>
                <w:iCs/>
                <w:sz w:val="20"/>
                <w:szCs w:val="20"/>
              </w:rPr>
            </w:pPr>
            <w:proofErr w:type="gramStart"/>
            <w:r w:rsidRPr="007B64B0">
              <w:rPr>
                <w:rFonts w:ascii="TimesTenLTStd-Italic" w:hAnsi="TimesTenLTStd-Italic" w:cs="TimesTenLTStd-Italic"/>
                <w:iCs/>
                <w:sz w:val="20"/>
                <w:szCs w:val="20"/>
              </w:rPr>
              <w:t>mesa</w:t>
            </w:r>
            <w:proofErr w:type="gramEnd"/>
            <w:r w:rsidRPr="007B64B0">
              <w:rPr>
                <w:rFonts w:ascii="TimesTenLTStd-Italic" w:hAnsi="TimesTenLTStd-Italic" w:cs="TimesTenLTStd-Italic"/>
                <w:iCs/>
                <w:sz w:val="20"/>
                <w:szCs w:val="20"/>
              </w:rPr>
              <w:t xml:space="preserve"> tops. Cultural occupation began during the terminal Pleistocene at the J17 </w:t>
            </w:r>
            <w:proofErr w:type="spellStart"/>
            <w:r w:rsidRPr="007B64B0">
              <w:rPr>
                <w:rFonts w:ascii="TimesTenLTStd-Italic" w:hAnsi="TimesTenLTStd-Italic" w:cs="TimesTenLTStd-Italic"/>
                <w:iCs/>
                <w:sz w:val="20"/>
                <w:szCs w:val="20"/>
              </w:rPr>
              <w:t>Covacha</w:t>
            </w:r>
            <w:proofErr w:type="spellEnd"/>
            <w:r w:rsidRPr="007B64B0">
              <w:rPr>
                <w:rFonts w:ascii="TimesTenLTStd-Italic" w:hAnsi="TimesTenLTStd-Italic" w:cs="TimesTenLTStd-Italic"/>
                <w:iCs/>
                <w:sz w:val="20"/>
                <w:szCs w:val="20"/>
              </w:rPr>
              <w:t xml:space="preserve"> </w:t>
            </w:r>
            <w:proofErr w:type="spellStart"/>
            <w:r w:rsidRPr="007B64B0">
              <w:rPr>
                <w:rFonts w:ascii="TimesTenLTStd-Italic" w:hAnsi="TimesTenLTStd-Italic" w:cs="TimesTenLTStd-Italic"/>
                <w:iCs/>
                <w:sz w:val="20"/>
                <w:szCs w:val="20"/>
              </w:rPr>
              <w:t>Babisuri</w:t>
            </w:r>
            <w:proofErr w:type="spellEnd"/>
            <w:r w:rsidRPr="007B64B0">
              <w:rPr>
                <w:rFonts w:ascii="TimesTenLTStd-Italic" w:hAnsi="TimesTenLTStd-Italic" w:cs="TimesTenLTStd-Italic"/>
                <w:iCs/>
                <w:sz w:val="20"/>
                <w:szCs w:val="20"/>
              </w:rPr>
              <w:t xml:space="preserve"> and J69E La</w:t>
            </w:r>
            <w:r>
              <w:rPr>
                <w:rFonts w:ascii="TimesTenLTStd-Italic" w:hAnsi="TimesTenLTStd-Italic" w:cs="TimesTenLTStd-Italic"/>
                <w:iCs/>
                <w:sz w:val="20"/>
                <w:szCs w:val="20"/>
              </w:rPr>
              <w:t xml:space="preserve"> </w:t>
            </w:r>
            <w:proofErr w:type="spellStart"/>
            <w:r w:rsidRPr="007B64B0">
              <w:rPr>
                <w:rFonts w:ascii="TimesTenLTStd-Italic" w:hAnsi="TimesTenLTStd-Italic" w:cs="TimesTenLTStd-Italic"/>
                <w:iCs/>
                <w:sz w:val="20"/>
                <w:szCs w:val="20"/>
              </w:rPr>
              <w:t>Ballena</w:t>
            </w:r>
            <w:proofErr w:type="spellEnd"/>
            <w:r w:rsidRPr="007B64B0">
              <w:rPr>
                <w:rFonts w:ascii="TimesTenLTStd-Italic" w:hAnsi="TimesTenLTStd-Italic" w:cs="TimesTenLTStd-Italic"/>
                <w:iCs/>
                <w:sz w:val="20"/>
                <w:szCs w:val="20"/>
              </w:rPr>
              <w:t xml:space="preserve"> #3 sites and intensified during the early Holocene in open mesa and some </w:t>
            </w:r>
            <w:proofErr w:type="spellStart"/>
            <w:r w:rsidRPr="007B64B0">
              <w:rPr>
                <w:rFonts w:ascii="TimesTenLTStd-Italic" w:hAnsi="TimesTenLTStd-Italic" w:cs="TimesTenLTStd-Italic"/>
                <w:iCs/>
                <w:sz w:val="20"/>
                <w:szCs w:val="20"/>
              </w:rPr>
              <w:t>rockshelter</w:t>
            </w:r>
            <w:proofErr w:type="spellEnd"/>
            <w:r w:rsidRPr="007B64B0">
              <w:rPr>
                <w:rFonts w:ascii="TimesTenLTStd-Italic" w:hAnsi="TimesTenLTStd-Italic" w:cs="TimesTenLTStd-Italic"/>
                <w:iCs/>
                <w:sz w:val="20"/>
                <w:szCs w:val="20"/>
              </w:rPr>
              <w:t xml:space="preserve"> sites. Most cave and</w:t>
            </w:r>
          </w:p>
          <w:p w:rsidR="00C17F9B" w:rsidRPr="00280A4B" w:rsidRDefault="007B64B0" w:rsidP="007B64B0">
            <w:pPr>
              <w:autoSpaceDE w:val="0"/>
              <w:autoSpaceDN w:val="0"/>
              <w:adjustRightInd w:val="0"/>
              <w:rPr>
                <w:rFonts w:ascii="TimesTenLTStd-Italic" w:hAnsi="TimesTenLTStd-Italic" w:cs="TimesTenLTStd-Italic"/>
                <w:iCs/>
                <w:sz w:val="20"/>
                <w:szCs w:val="20"/>
              </w:rPr>
            </w:pPr>
            <w:proofErr w:type="spellStart"/>
            <w:proofErr w:type="gramStart"/>
            <w:r w:rsidRPr="007B64B0">
              <w:rPr>
                <w:rFonts w:ascii="TimesTenLTStd-Italic" w:hAnsi="TimesTenLTStd-Italic" w:cs="TimesTenLTStd-Italic"/>
                <w:iCs/>
                <w:sz w:val="20"/>
                <w:szCs w:val="20"/>
              </w:rPr>
              <w:t>rockshelter</w:t>
            </w:r>
            <w:proofErr w:type="spellEnd"/>
            <w:proofErr w:type="gramEnd"/>
            <w:r w:rsidRPr="007B64B0">
              <w:rPr>
                <w:rFonts w:ascii="TimesTenLTStd-Italic" w:hAnsi="TimesTenLTStd-Italic" w:cs="TimesTenLTStd-Italic"/>
                <w:iCs/>
                <w:sz w:val="20"/>
                <w:szCs w:val="20"/>
              </w:rPr>
              <w:t xml:space="preserve"> sites were occupied until the contact period, but mesa sites were apparently abandoned during the middle</w:t>
            </w:r>
            <w:r>
              <w:rPr>
                <w:rFonts w:ascii="TimesTenLTStd-Italic" w:hAnsi="TimesTenLTStd-Italic" w:cs="TimesTenLTStd-Italic"/>
                <w:iCs/>
                <w:sz w:val="20"/>
                <w:szCs w:val="20"/>
              </w:rPr>
              <w:t xml:space="preserve"> </w:t>
            </w:r>
            <w:r w:rsidRPr="007B64B0">
              <w:rPr>
                <w:rFonts w:ascii="TimesTenLTStd-Italic" w:hAnsi="TimesTenLTStd-Italic" w:cs="TimesTenLTStd-Italic"/>
                <w:iCs/>
                <w:sz w:val="20"/>
                <w:szCs w:val="20"/>
              </w:rPr>
              <w:t xml:space="preserve">Holocene. Extensive shell </w:t>
            </w:r>
            <w:proofErr w:type="spellStart"/>
            <w:r w:rsidRPr="007B64B0">
              <w:rPr>
                <w:rFonts w:ascii="TimesTenLTStd-Italic" w:hAnsi="TimesTenLTStd-Italic" w:cs="TimesTenLTStd-Italic"/>
                <w:iCs/>
                <w:sz w:val="20"/>
                <w:szCs w:val="20"/>
              </w:rPr>
              <w:t>middens</w:t>
            </w:r>
            <w:proofErr w:type="spellEnd"/>
            <w:r w:rsidRPr="007B64B0">
              <w:rPr>
                <w:rFonts w:ascii="TimesTenLTStd-Italic" w:hAnsi="TimesTenLTStd-Italic" w:cs="TimesTenLTStd-Italic"/>
                <w:iCs/>
                <w:sz w:val="20"/>
                <w:szCs w:val="20"/>
              </w:rPr>
              <w:t xml:space="preserve"> were created after 4,500 B.P., first near mangroves in the backs of bays and later at</w:t>
            </w:r>
            <w:r>
              <w:rPr>
                <w:rFonts w:ascii="TimesTenLTStd-Italic" w:hAnsi="TimesTenLTStd-Italic" w:cs="TimesTenLTStd-Italic"/>
                <w:iCs/>
                <w:sz w:val="20"/>
                <w:szCs w:val="20"/>
              </w:rPr>
              <w:t xml:space="preserve"> </w:t>
            </w:r>
            <w:r w:rsidRPr="007B64B0">
              <w:rPr>
                <w:rFonts w:ascii="TimesTenLTStd-Italic" w:hAnsi="TimesTenLTStd-Italic" w:cs="TimesTenLTStd-Italic"/>
                <w:iCs/>
                <w:sz w:val="20"/>
                <w:szCs w:val="20"/>
              </w:rPr>
              <w:t>the entrances to bays.</w:t>
            </w:r>
          </w:p>
        </w:tc>
      </w:tr>
      <w:tr w:rsidR="007B64B0" w:rsidTr="00A36DF2">
        <w:trPr>
          <w:trHeight w:val="1205"/>
        </w:trPr>
        <w:tc>
          <w:tcPr>
            <w:tcW w:w="6636" w:type="dxa"/>
          </w:tcPr>
          <w:p w:rsidR="007B64B0" w:rsidRDefault="007B64B0" w:rsidP="007B64B0">
            <w:pPr>
              <w:autoSpaceDE w:val="0"/>
              <w:autoSpaceDN w:val="0"/>
              <w:adjustRightInd w:val="0"/>
              <w:rPr>
                <w:rFonts w:ascii="TimesTenLTStd-Bold" w:hAnsi="TimesTenLTStd-Bold" w:cs="TimesTenLTStd-Bold"/>
                <w:b/>
                <w:bCs/>
                <w:sz w:val="44"/>
                <w:szCs w:val="44"/>
              </w:rPr>
            </w:pPr>
            <w:r>
              <w:rPr>
                <w:rFonts w:ascii="TimesTenLTStd-Bold" w:hAnsi="TimesTenLTStd-Bold" w:cs="TimesTenLTStd-Bold"/>
                <w:b/>
                <w:bCs/>
                <w:sz w:val="44"/>
                <w:szCs w:val="44"/>
              </w:rPr>
              <w:lastRenderedPageBreak/>
              <w:t>Exploring Baja California’s</w:t>
            </w:r>
          </w:p>
          <w:p w:rsidR="007B64B0" w:rsidRPr="007B64B0" w:rsidRDefault="007B64B0" w:rsidP="007B64B0">
            <w:pPr>
              <w:autoSpaceDE w:val="0"/>
              <w:autoSpaceDN w:val="0"/>
              <w:adjustRightInd w:val="0"/>
              <w:rPr>
                <w:rFonts w:ascii="TimesTenLTStd-Bold" w:hAnsi="TimesTenLTStd-Bold" w:cs="TimesTenLTStd-Bold"/>
                <w:b/>
                <w:bCs/>
                <w:sz w:val="44"/>
                <w:szCs w:val="44"/>
              </w:rPr>
            </w:pPr>
            <w:r>
              <w:rPr>
                <w:rFonts w:ascii="TimesTenLTStd-Bold" w:hAnsi="TimesTenLTStd-Bold" w:cs="TimesTenLTStd-Bold"/>
                <w:b/>
                <w:bCs/>
                <w:sz w:val="44"/>
                <w:szCs w:val="44"/>
              </w:rPr>
              <w:t>Submerged Landscapes</w:t>
            </w:r>
          </w:p>
        </w:tc>
        <w:tc>
          <w:tcPr>
            <w:tcW w:w="6636" w:type="dxa"/>
          </w:tcPr>
          <w:p w:rsidR="007B64B0" w:rsidRPr="007B64B0" w:rsidRDefault="007B64B0" w:rsidP="007B64B0">
            <w:pPr>
              <w:autoSpaceDE w:val="0"/>
              <w:autoSpaceDN w:val="0"/>
              <w:adjustRightInd w:val="0"/>
              <w:rPr>
                <w:rFonts w:ascii="TimesTenLTStd-Italic" w:hAnsi="TimesTenLTStd-Italic" w:cs="TimesTenLTStd-Italic"/>
                <w:iCs/>
                <w:sz w:val="20"/>
                <w:szCs w:val="20"/>
              </w:rPr>
            </w:pPr>
            <w:r w:rsidRPr="007B64B0">
              <w:rPr>
                <w:rFonts w:ascii="TimesTenLTStd-Italic" w:hAnsi="TimesTenLTStd-Italic" w:cs="TimesTenLTStd-Italic"/>
                <w:iCs/>
                <w:sz w:val="20"/>
                <w:szCs w:val="20"/>
              </w:rPr>
              <w:t xml:space="preserve">Recent research utilizing </w:t>
            </w:r>
            <w:proofErr w:type="spellStart"/>
            <w:r w:rsidRPr="007B64B0">
              <w:rPr>
                <w:rFonts w:ascii="TimesTenLTStd-Italic" w:hAnsi="TimesTenLTStd-Italic" w:cs="TimesTenLTStd-Italic"/>
                <w:iCs/>
                <w:sz w:val="20"/>
                <w:szCs w:val="20"/>
              </w:rPr>
              <w:t>paleolandsc</w:t>
            </w:r>
            <w:r>
              <w:rPr>
                <w:rFonts w:ascii="TimesTenLTStd-Italic" w:hAnsi="TimesTenLTStd-Italic" w:cs="TimesTenLTStd-Italic"/>
                <w:iCs/>
                <w:sz w:val="20"/>
                <w:szCs w:val="20"/>
              </w:rPr>
              <w:t>ape</w:t>
            </w:r>
            <w:proofErr w:type="spellEnd"/>
            <w:r>
              <w:rPr>
                <w:rFonts w:ascii="TimesTenLTStd-Italic" w:hAnsi="TimesTenLTStd-Italic" w:cs="TimesTenLTStd-Italic"/>
                <w:iCs/>
                <w:sz w:val="20"/>
                <w:szCs w:val="20"/>
              </w:rPr>
              <w:t xml:space="preserve"> reconstruction and targeted </w:t>
            </w:r>
            <w:r w:rsidRPr="007B64B0">
              <w:rPr>
                <w:rFonts w:ascii="TimesTenLTStd-Italic" w:hAnsi="TimesTenLTStd-Italic" w:cs="TimesTenLTStd-Italic"/>
                <w:iCs/>
                <w:sz w:val="20"/>
                <w:szCs w:val="20"/>
              </w:rPr>
              <w:t>underwater survey has led to the discovery of</w:t>
            </w:r>
            <w:r>
              <w:rPr>
                <w:rFonts w:ascii="TimesTenLTStd-Italic" w:hAnsi="TimesTenLTStd-Italic" w:cs="TimesTenLTStd-Italic"/>
                <w:iCs/>
                <w:sz w:val="20"/>
                <w:szCs w:val="20"/>
              </w:rPr>
              <w:t xml:space="preserve"> </w:t>
            </w:r>
            <w:r w:rsidRPr="007B64B0">
              <w:rPr>
                <w:rFonts w:ascii="TimesTenLTStd-Italic" w:hAnsi="TimesTenLTStd-Italic" w:cs="TimesTenLTStd-Italic"/>
                <w:iCs/>
                <w:sz w:val="20"/>
                <w:szCs w:val="20"/>
              </w:rPr>
              <w:t xml:space="preserve">prehistoric cultural material on the submerged landscape off of </w:t>
            </w:r>
            <w:proofErr w:type="spellStart"/>
            <w:r w:rsidRPr="007B64B0">
              <w:rPr>
                <w:rFonts w:ascii="TimesTenLTStd-Italic" w:hAnsi="TimesTenLTStd-Italic" w:cs="TimesTenLTStd-Italic"/>
                <w:iCs/>
                <w:sz w:val="20"/>
                <w:szCs w:val="20"/>
              </w:rPr>
              <w:t>Espíritu</w:t>
            </w:r>
            <w:proofErr w:type="spellEnd"/>
            <w:r w:rsidRPr="007B64B0">
              <w:rPr>
                <w:rFonts w:ascii="TimesTenLTStd-Italic" w:hAnsi="TimesTenLTStd-Italic" w:cs="TimesTenLTStd-Italic"/>
                <w:iCs/>
                <w:sz w:val="20"/>
                <w:szCs w:val="20"/>
              </w:rPr>
              <w:t xml:space="preserve"> Santo Island, Baja California Sur. Our ability</w:t>
            </w:r>
            <w:r>
              <w:rPr>
                <w:rFonts w:ascii="TimesTenLTStd-Italic" w:hAnsi="TimesTenLTStd-Italic" w:cs="TimesTenLTStd-Italic"/>
                <w:iCs/>
                <w:sz w:val="20"/>
                <w:szCs w:val="20"/>
              </w:rPr>
              <w:t xml:space="preserve"> </w:t>
            </w:r>
            <w:r w:rsidRPr="007B64B0">
              <w:rPr>
                <w:rFonts w:ascii="TimesTenLTStd-Italic" w:hAnsi="TimesTenLTStd-Italic" w:cs="TimesTenLTStd-Italic"/>
                <w:iCs/>
                <w:sz w:val="20"/>
                <w:szCs w:val="20"/>
              </w:rPr>
              <w:t>to identify preserved inundated cultural remains suggests that Baja California’s unique geography and environment</w:t>
            </w:r>
            <w:r>
              <w:rPr>
                <w:rFonts w:ascii="TimesTenLTStd-Italic" w:hAnsi="TimesTenLTStd-Italic" w:cs="TimesTenLTStd-Italic"/>
                <w:iCs/>
                <w:sz w:val="20"/>
                <w:szCs w:val="20"/>
              </w:rPr>
              <w:t xml:space="preserve"> may be favorable for </w:t>
            </w:r>
            <w:r w:rsidRPr="007B64B0">
              <w:rPr>
                <w:rFonts w:ascii="TimesTenLTStd-Italic" w:hAnsi="TimesTenLTStd-Italic" w:cs="TimesTenLTStd-Italic"/>
                <w:iCs/>
                <w:sz w:val="20"/>
                <w:szCs w:val="20"/>
              </w:rPr>
              <w:t>identifying evidence of late Pleistocene coastal occupations. Indeed, survey data identifying</w:t>
            </w:r>
            <w:r>
              <w:rPr>
                <w:rFonts w:ascii="TimesTenLTStd-Italic" w:hAnsi="TimesTenLTStd-Italic" w:cs="TimesTenLTStd-Italic"/>
                <w:iCs/>
                <w:sz w:val="20"/>
                <w:szCs w:val="20"/>
              </w:rPr>
              <w:t xml:space="preserve"> </w:t>
            </w:r>
            <w:r w:rsidRPr="007B64B0">
              <w:rPr>
                <w:rFonts w:ascii="TimesTenLTStd-Italic" w:hAnsi="TimesTenLTStd-Italic" w:cs="TimesTenLTStd-Italic"/>
                <w:iCs/>
                <w:sz w:val="20"/>
                <w:szCs w:val="20"/>
              </w:rPr>
              <w:t>unique geomorphological and environmental characteristics clarifies the various factors that made this region attractive</w:t>
            </w:r>
            <w:r>
              <w:rPr>
                <w:rFonts w:ascii="TimesTenLTStd-Italic" w:hAnsi="TimesTenLTStd-Italic" w:cs="TimesTenLTStd-Italic"/>
                <w:iCs/>
                <w:sz w:val="20"/>
                <w:szCs w:val="20"/>
              </w:rPr>
              <w:t xml:space="preserve"> </w:t>
            </w:r>
            <w:r w:rsidRPr="007B64B0">
              <w:rPr>
                <w:rFonts w:ascii="TimesTenLTStd-Italic" w:hAnsi="TimesTenLTStd-Italic" w:cs="TimesTenLTStd-Italic"/>
                <w:iCs/>
                <w:sz w:val="20"/>
                <w:szCs w:val="20"/>
              </w:rPr>
              <w:t>to early hunter-gatherer populations, and also explains why Baja California may be integral in the search for some of</w:t>
            </w:r>
            <w:r>
              <w:rPr>
                <w:rFonts w:ascii="TimesTenLTStd-Italic" w:hAnsi="TimesTenLTStd-Italic" w:cs="TimesTenLTStd-Italic"/>
                <w:iCs/>
                <w:sz w:val="20"/>
                <w:szCs w:val="20"/>
              </w:rPr>
              <w:t xml:space="preserve"> </w:t>
            </w:r>
            <w:r w:rsidRPr="007B64B0">
              <w:rPr>
                <w:rFonts w:ascii="TimesTenLTStd-Italic" w:hAnsi="TimesTenLTStd-Italic" w:cs="TimesTenLTStd-Italic"/>
                <w:iCs/>
                <w:sz w:val="20"/>
                <w:szCs w:val="20"/>
              </w:rPr>
              <w:t>the earliest coastal inhabitants of the New World.</w:t>
            </w:r>
          </w:p>
        </w:tc>
      </w:tr>
      <w:tr w:rsidR="007B64B0" w:rsidTr="00A36DF2">
        <w:trPr>
          <w:trHeight w:val="1205"/>
        </w:trPr>
        <w:tc>
          <w:tcPr>
            <w:tcW w:w="6636" w:type="dxa"/>
          </w:tcPr>
          <w:p w:rsidR="007B64B0" w:rsidRDefault="007B64B0" w:rsidP="007B64B0">
            <w:pPr>
              <w:autoSpaceDE w:val="0"/>
              <w:autoSpaceDN w:val="0"/>
              <w:adjustRightInd w:val="0"/>
              <w:rPr>
                <w:rFonts w:ascii="TimesTenLTStd-Bold" w:hAnsi="TimesTenLTStd-Bold" w:cs="TimesTenLTStd-Bold"/>
                <w:b/>
                <w:bCs/>
                <w:sz w:val="44"/>
                <w:szCs w:val="44"/>
              </w:rPr>
            </w:pPr>
            <w:r>
              <w:rPr>
                <w:rFonts w:ascii="TimesTenLTStd-Bold" w:hAnsi="TimesTenLTStd-Bold" w:cs="TimesTenLTStd-Bold"/>
                <w:b/>
                <w:bCs/>
                <w:sz w:val="44"/>
                <w:szCs w:val="44"/>
              </w:rPr>
              <w:t>Inferring Relationships Between Indigenous</w:t>
            </w:r>
          </w:p>
          <w:p w:rsidR="007B64B0" w:rsidRDefault="007B64B0" w:rsidP="007B64B0">
            <w:pPr>
              <w:autoSpaceDE w:val="0"/>
              <w:autoSpaceDN w:val="0"/>
              <w:adjustRightInd w:val="0"/>
              <w:rPr>
                <w:rFonts w:ascii="TimesTenLTStd-Bold" w:hAnsi="TimesTenLTStd-Bold" w:cs="TimesTenLTStd-Bold"/>
                <w:b/>
                <w:bCs/>
                <w:sz w:val="44"/>
                <w:szCs w:val="44"/>
              </w:rPr>
            </w:pPr>
            <w:r>
              <w:rPr>
                <w:rFonts w:ascii="TimesTenLTStd-Bold" w:hAnsi="TimesTenLTStd-Bold" w:cs="TimesTenLTStd-Bold"/>
                <w:b/>
                <w:bCs/>
                <w:sz w:val="44"/>
                <w:szCs w:val="44"/>
              </w:rPr>
              <w:t>Baja California Sur and Seri/</w:t>
            </w:r>
            <w:proofErr w:type="spellStart"/>
            <w:r>
              <w:rPr>
                <w:rFonts w:ascii="TimesTenLTStd-Bold" w:hAnsi="TimesTenLTStd-Bold" w:cs="TimesTenLTStd-Bold"/>
                <w:b/>
                <w:bCs/>
                <w:sz w:val="44"/>
                <w:szCs w:val="44"/>
              </w:rPr>
              <w:t>Comcáac</w:t>
            </w:r>
            <w:proofErr w:type="spellEnd"/>
          </w:p>
          <w:p w:rsidR="007B64B0" w:rsidRDefault="007B64B0" w:rsidP="007B64B0">
            <w:pPr>
              <w:autoSpaceDE w:val="0"/>
              <w:autoSpaceDN w:val="0"/>
              <w:adjustRightInd w:val="0"/>
              <w:rPr>
                <w:rFonts w:ascii="TimesTenLTStd-Bold" w:hAnsi="TimesTenLTStd-Bold" w:cs="TimesTenLTStd-Bold"/>
                <w:b/>
                <w:bCs/>
                <w:sz w:val="44"/>
                <w:szCs w:val="44"/>
              </w:rPr>
            </w:pPr>
            <w:r>
              <w:rPr>
                <w:rFonts w:ascii="TimesTenLTStd-Bold" w:hAnsi="TimesTenLTStd-Bold" w:cs="TimesTenLTStd-Bold"/>
                <w:b/>
                <w:bCs/>
                <w:sz w:val="44"/>
                <w:szCs w:val="44"/>
              </w:rPr>
              <w:t>Populations Through Cultural Traits</w:t>
            </w:r>
          </w:p>
        </w:tc>
        <w:tc>
          <w:tcPr>
            <w:tcW w:w="6636" w:type="dxa"/>
          </w:tcPr>
          <w:p w:rsidR="007B64B0" w:rsidRPr="007B64B0" w:rsidRDefault="007B64B0" w:rsidP="007B64B0">
            <w:pPr>
              <w:autoSpaceDE w:val="0"/>
              <w:autoSpaceDN w:val="0"/>
              <w:adjustRightInd w:val="0"/>
              <w:rPr>
                <w:rFonts w:ascii="TimesTenLTStd-Italic" w:hAnsi="TimesTenLTStd-Italic" w:cs="TimesTenLTStd-Italic"/>
                <w:iCs/>
                <w:sz w:val="20"/>
                <w:szCs w:val="20"/>
              </w:rPr>
            </w:pPr>
            <w:r w:rsidRPr="007B64B0">
              <w:rPr>
                <w:rFonts w:ascii="TimesTenLTStd-Italic" w:hAnsi="TimesTenLTStd-Italic" w:cs="TimesTenLTStd-Italic"/>
                <w:iCs/>
                <w:sz w:val="20"/>
                <w:szCs w:val="20"/>
              </w:rPr>
              <w:t>Cultural relationships between historic Baja California Sur indigenous groups are poor</w:t>
            </w:r>
            <w:r>
              <w:rPr>
                <w:rFonts w:ascii="TimesTenLTStd-Italic" w:hAnsi="TimesTenLTStd-Italic" w:cs="TimesTenLTStd-Italic"/>
                <w:iCs/>
                <w:sz w:val="20"/>
                <w:szCs w:val="20"/>
              </w:rPr>
              <w:t xml:space="preserve">ly understood, despite the </w:t>
            </w:r>
            <w:r w:rsidRPr="007B64B0">
              <w:rPr>
                <w:rFonts w:ascii="TimesTenLTStd-Italic" w:hAnsi="TimesTenLTStd-Italic" w:cs="TimesTenLTStd-Italic"/>
                <w:iCs/>
                <w:sz w:val="20"/>
                <w:szCs w:val="20"/>
              </w:rPr>
              <w:t>presence of historical accounts of these peoples. Relationships between groups largely have been reconstructed through</w:t>
            </w:r>
          </w:p>
          <w:p w:rsidR="007B64B0" w:rsidRPr="007B64B0" w:rsidRDefault="007B64B0" w:rsidP="007B64B0">
            <w:pPr>
              <w:autoSpaceDE w:val="0"/>
              <w:autoSpaceDN w:val="0"/>
              <w:adjustRightInd w:val="0"/>
              <w:rPr>
                <w:rFonts w:ascii="TimesTenLTStd-Italic" w:hAnsi="TimesTenLTStd-Italic" w:cs="TimesTenLTStd-Italic"/>
                <w:iCs/>
                <w:sz w:val="20"/>
                <w:szCs w:val="20"/>
              </w:rPr>
            </w:pPr>
            <w:proofErr w:type="gramStart"/>
            <w:r w:rsidRPr="007B64B0">
              <w:rPr>
                <w:rFonts w:ascii="TimesTenLTStd-Italic" w:hAnsi="TimesTenLTStd-Italic" w:cs="TimesTenLTStd-Italic"/>
                <w:iCs/>
                <w:sz w:val="20"/>
                <w:szCs w:val="20"/>
              </w:rPr>
              <w:t>linguistic</w:t>
            </w:r>
            <w:proofErr w:type="gramEnd"/>
            <w:r w:rsidRPr="007B64B0">
              <w:rPr>
                <w:rFonts w:ascii="TimesTenLTStd-Italic" w:hAnsi="TimesTenLTStd-Italic" w:cs="TimesTenLTStd-Italic"/>
                <w:iCs/>
                <w:sz w:val="20"/>
                <w:szCs w:val="20"/>
              </w:rPr>
              <w:t xml:space="preserve"> attributes recorded by Jesuit missionaries. Non-linguistic cultural traits derived from historical </w:t>
            </w:r>
            <w:r>
              <w:rPr>
                <w:rFonts w:ascii="TimesTenLTStd-Italic" w:hAnsi="TimesTenLTStd-Italic" w:cs="TimesTenLTStd-Italic"/>
                <w:iCs/>
                <w:sz w:val="20"/>
                <w:szCs w:val="20"/>
              </w:rPr>
              <w:t xml:space="preserve">accounts also </w:t>
            </w:r>
            <w:r w:rsidRPr="007B64B0">
              <w:rPr>
                <w:rFonts w:ascii="TimesTenLTStd-Italic" w:hAnsi="TimesTenLTStd-Italic" w:cs="TimesTenLTStd-Italic"/>
                <w:iCs/>
                <w:sz w:val="20"/>
                <w:szCs w:val="20"/>
              </w:rPr>
              <w:t>can be used to determine relationships between groups. We use content analysis to s</w:t>
            </w:r>
            <w:r>
              <w:rPr>
                <w:rFonts w:ascii="TimesTenLTStd-Italic" w:hAnsi="TimesTenLTStd-Italic" w:cs="TimesTenLTStd-Italic"/>
                <w:iCs/>
                <w:sz w:val="20"/>
                <w:szCs w:val="20"/>
              </w:rPr>
              <w:t xml:space="preserve">ystematically organize cultural </w:t>
            </w:r>
            <w:r w:rsidRPr="007B64B0">
              <w:rPr>
                <w:rFonts w:ascii="TimesTenLTStd-Italic" w:hAnsi="TimesTenLTStd-Italic" w:cs="TimesTenLTStd-Italic"/>
                <w:iCs/>
                <w:sz w:val="20"/>
                <w:szCs w:val="20"/>
              </w:rPr>
              <w:t xml:space="preserve">trait information from historical explorer accounts, Jesuit missionary documents, and </w:t>
            </w:r>
            <w:r>
              <w:rPr>
                <w:rFonts w:ascii="TimesTenLTStd-Italic" w:hAnsi="TimesTenLTStd-Italic" w:cs="TimesTenLTStd-Italic"/>
                <w:iCs/>
                <w:sz w:val="20"/>
                <w:szCs w:val="20"/>
              </w:rPr>
              <w:t xml:space="preserve">academic research pertaining to </w:t>
            </w:r>
            <w:r w:rsidRPr="007B64B0">
              <w:rPr>
                <w:rFonts w:ascii="TimesTenLTStd-Italic" w:hAnsi="TimesTenLTStd-Italic" w:cs="TimesTenLTStd-Italic"/>
                <w:iCs/>
                <w:sz w:val="20"/>
                <w:szCs w:val="20"/>
              </w:rPr>
              <w:t xml:space="preserve">three Lower California groups: the </w:t>
            </w:r>
            <w:proofErr w:type="spellStart"/>
            <w:r w:rsidRPr="007B64B0">
              <w:rPr>
                <w:rFonts w:ascii="TimesTenLTStd-Italic" w:hAnsi="TimesTenLTStd-Italic" w:cs="TimesTenLTStd-Italic"/>
                <w:iCs/>
                <w:sz w:val="20"/>
                <w:szCs w:val="20"/>
              </w:rPr>
              <w:t>Pericú</w:t>
            </w:r>
            <w:proofErr w:type="spellEnd"/>
            <w:r w:rsidRPr="007B64B0">
              <w:rPr>
                <w:rFonts w:ascii="TimesTenLTStd-Italic" w:hAnsi="TimesTenLTStd-Italic" w:cs="TimesTenLTStd-Italic"/>
                <w:iCs/>
                <w:sz w:val="20"/>
                <w:szCs w:val="20"/>
              </w:rPr>
              <w:t xml:space="preserve">, </w:t>
            </w:r>
            <w:proofErr w:type="spellStart"/>
            <w:r w:rsidRPr="007B64B0">
              <w:rPr>
                <w:rFonts w:ascii="TimesTenLTStd-Italic" w:hAnsi="TimesTenLTStd-Italic" w:cs="TimesTenLTStd-Italic"/>
                <w:iCs/>
                <w:sz w:val="20"/>
                <w:szCs w:val="20"/>
              </w:rPr>
              <w:t>Guaycura</w:t>
            </w:r>
            <w:proofErr w:type="spellEnd"/>
            <w:r w:rsidRPr="007B64B0">
              <w:rPr>
                <w:rFonts w:ascii="TimesTenLTStd-Italic" w:hAnsi="TimesTenLTStd-Italic" w:cs="TimesTenLTStd-Italic"/>
                <w:iCs/>
                <w:sz w:val="20"/>
                <w:szCs w:val="20"/>
              </w:rPr>
              <w:t xml:space="preserve">, and southern </w:t>
            </w:r>
            <w:proofErr w:type="spellStart"/>
            <w:r w:rsidRPr="007B64B0">
              <w:rPr>
                <w:rFonts w:ascii="TimesTenLTStd-Italic" w:hAnsi="TimesTenLTStd-Italic" w:cs="TimesTenLTStd-Italic"/>
                <w:iCs/>
                <w:sz w:val="20"/>
                <w:szCs w:val="20"/>
              </w:rPr>
              <w:t>Cochimí</w:t>
            </w:r>
            <w:proofErr w:type="spellEnd"/>
            <w:r w:rsidRPr="007B64B0">
              <w:rPr>
                <w:rFonts w:ascii="TimesTenLTStd-Italic" w:hAnsi="TimesTenLTStd-Italic" w:cs="TimesTenLTStd-Italic"/>
                <w:iCs/>
                <w:sz w:val="20"/>
                <w:szCs w:val="20"/>
              </w:rPr>
              <w:t>, as well</w:t>
            </w:r>
            <w:r>
              <w:rPr>
                <w:rFonts w:ascii="TimesTenLTStd-Italic" w:hAnsi="TimesTenLTStd-Italic" w:cs="TimesTenLTStd-Italic"/>
                <w:iCs/>
                <w:sz w:val="20"/>
                <w:szCs w:val="20"/>
              </w:rPr>
              <w:t xml:space="preserve"> as the Seri/</w:t>
            </w:r>
            <w:proofErr w:type="spellStart"/>
            <w:r>
              <w:rPr>
                <w:rFonts w:ascii="TimesTenLTStd-Italic" w:hAnsi="TimesTenLTStd-Italic" w:cs="TimesTenLTStd-Italic"/>
                <w:iCs/>
                <w:sz w:val="20"/>
                <w:szCs w:val="20"/>
              </w:rPr>
              <w:t>Comcáac</w:t>
            </w:r>
            <w:proofErr w:type="spellEnd"/>
            <w:r>
              <w:rPr>
                <w:rFonts w:ascii="TimesTenLTStd-Italic" w:hAnsi="TimesTenLTStd-Italic" w:cs="TimesTenLTStd-Italic"/>
                <w:iCs/>
                <w:sz w:val="20"/>
                <w:szCs w:val="20"/>
              </w:rPr>
              <w:t xml:space="preserve"> Indians of </w:t>
            </w:r>
            <w:r w:rsidRPr="007B64B0">
              <w:rPr>
                <w:rFonts w:ascii="TimesTenLTStd-Italic" w:hAnsi="TimesTenLTStd-Italic" w:cs="TimesTenLTStd-Italic"/>
                <w:iCs/>
                <w:sz w:val="20"/>
                <w:szCs w:val="20"/>
              </w:rPr>
              <w:t>the Gulf of California and Sonora. Reliability analyses reveal considerable cultural h</w:t>
            </w:r>
            <w:r>
              <w:rPr>
                <w:rFonts w:ascii="TimesTenLTStd-Italic" w:hAnsi="TimesTenLTStd-Italic" w:cs="TimesTenLTStd-Italic"/>
                <w:iCs/>
                <w:sz w:val="20"/>
                <w:szCs w:val="20"/>
              </w:rPr>
              <w:t xml:space="preserve">omogeneity between the southern </w:t>
            </w:r>
            <w:proofErr w:type="spellStart"/>
            <w:r w:rsidRPr="007B64B0">
              <w:rPr>
                <w:rFonts w:ascii="TimesTenLTStd-Italic" w:hAnsi="TimesTenLTStd-Italic" w:cs="TimesTenLTStd-Italic"/>
                <w:iCs/>
                <w:sz w:val="20"/>
                <w:szCs w:val="20"/>
              </w:rPr>
              <w:t>Cochimí</w:t>
            </w:r>
            <w:proofErr w:type="spellEnd"/>
            <w:r w:rsidRPr="007B64B0">
              <w:rPr>
                <w:rFonts w:ascii="TimesTenLTStd-Italic" w:hAnsi="TimesTenLTStd-Italic" w:cs="TimesTenLTStd-Italic"/>
                <w:iCs/>
                <w:sz w:val="20"/>
                <w:szCs w:val="20"/>
              </w:rPr>
              <w:t xml:space="preserve"> and </w:t>
            </w:r>
            <w:proofErr w:type="spellStart"/>
            <w:r w:rsidRPr="007B64B0">
              <w:rPr>
                <w:rFonts w:ascii="TimesTenLTStd-Italic" w:hAnsi="TimesTenLTStd-Italic" w:cs="TimesTenLTStd-Italic"/>
                <w:iCs/>
                <w:sz w:val="20"/>
                <w:szCs w:val="20"/>
              </w:rPr>
              <w:t>Guaycura</w:t>
            </w:r>
            <w:proofErr w:type="spellEnd"/>
            <w:r w:rsidRPr="007B64B0">
              <w:rPr>
                <w:rFonts w:ascii="TimesTenLTStd-Italic" w:hAnsi="TimesTenLTStd-Italic" w:cs="TimesTenLTStd-Italic"/>
                <w:iCs/>
                <w:sz w:val="20"/>
                <w:szCs w:val="20"/>
              </w:rPr>
              <w:t>, and cultural dissimilarity between all other groupings. Hierarchic</w:t>
            </w:r>
            <w:r>
              <w:rPr>
                <w:rFonts w:ascii="TimesTenLTStd-Italic" w:hAnsi="TimesTenLTStd-Italic" w:cs="TimesTenLTStd-Italic"/>
                <w:iCs/>
                <w:sz w:val="20"/>
                <w:szCs w:val="20"/>
              </w:rPr>
              <w:t xml:space="preserve">al cluster analysis reveals the </w:t>
            </w:r>
            <w:proofErr w:type="spellStart"/>
            <w:r w:rsidRPr="007B64B0">
              <w:rPr>
                <w:rFonts w:ascii="TimesTenLTStd-Italic" w:hAnsi="TimesTenLTStd-Italic" w:cs="TimesTenLTStd-Italic"/>
                <w:iCs/>
                <w:sz w:val="20"/>
                <w:szCs w:val="20"/>
              </w:rPr>
              <w:t>Guaycura</w:t>
            </w:r>
            <w:proofErr w:type="spellEnd"/>
            <w:r w:rsidRPr="007B64B0">
              <w:rPr>
                <w:rFonts w:ascii="TimesTenLTStd-Italic" w:hAnsi="TimesTenLTStd-Italic" w:cs="TimesTenLTStd-Italic"/>
                <w:iCs/>
                <w:sz w:val="20"/>
                <w:szCs w:val="20"/>
              </w:rPr>
              <w:t xml:space="preserve"> and southern </w:t>
            </w:r>
            <w:proofErr w:type="spellStart"/>
            <w:r w:rsidRPr="007B64B0">
              <w:rPr>
                <w:rFonts w:ascii="TimesTenLTStd-Italic" w:hAnsi="TimesTenLTStd-Italic" w:cs="TimesTenLTStd-Italic"/>
                <w:iCs/>
                <w:sz w:val="20"/>
                <w:szCs w:val="20"/>
              </w:rPr>
              <w:t>Cochimí</w:t>
            </w:r>
            <w:proofErr w:type="spellEnd"/>
            <w:r w:rsidRPr="007B64B0">
              <w:rPr>
                <w:rFonts w:ascii="TimesTenLTStd-Italic" w:hAnsi="TimesTenLTStd-Italic" w:cs="TimesTenLTStd-Italic"/>
                <w:iCs/>
                <w:sz w:val="20"/>
                <w:szCs w:val="20"/>
              </w:rPr>
              <w:t xml:space="preserve"> comprise a distant, but natural grouping with the Ser</w:t>
            </w:r>
            <w:r>
              <w:rPr>
                <w:rFonts w:ascii="TimesTenLTStd-Italic" w:hAnsi="TimesTenLTStd-Italic" w:cs="TimesTenLTStd-Italic"/>
                <w:iCs/>
                <w:sz w:val="20"/>
                <w:szCs w:val="20"/>
              </w:rPr>
              <w:t>i/</w:t>
            </w:r>
            <w:proofErr w:type="spellStart"/>
            <w:r>
              <w:rPr>
                <w:rFonts w:ascii="TimesTenLTStd-Italic" w:hAnsi="TimesTenLTStd-Italic" w:cs="TimesTenLTStd-Italic"/>
                <w:iCs/>
                <w:sz w:val="20"/>
                <w:szCs w:val="20"/>
              </w:rPr>
              <w:t>Comcáac</w:t>
            </w:r>
            <w:proofErr w:type="spellEnd"/>
            <w:r>
              <w:rPr>
                <w:rFonts w:ascii="TimesTenLTStd-Italic" w:hAnsi="TimesTenLTStd-Italic" w:cs="TimesTenLTStd-Italic"/>
                <w:iCs/>
                <w:sz w:val="20"/>
                <w:szCs w:val="20"/>
              </w:rPr>
              <w:t xml:space="preserve">, while the </w:t>
            </w:r>
            <w:proofErr w:type="spellStart"/>
            <w:r>
              <w:rPr>
                <w:rFonts w:ascii="TimesTenLTStd-Italic" w:hAnsi="TimesTenLTStd-Italic" w:cs="TimesTenLTStd-Italic"/>
                <w:iCs/>
                <w:sz w:val="20"/>
                <w:szCs w:val="20"/>
              </w:rPr>
              <w:t>Pericú</w:t>
            </w:r>
            <w:proofErr w:type="spellEnd"/>
            <w:r>
              <w:rPr>
                <w:rFonts w:ascii="TimesTenLTStd-Italic" w:hAnsi="TimesTenLTStd-Italic" w:cs="TimesTenLTStd-Italic"/>
                <w:iCs/>
                <w:sz w:val="20"/>
                <w:szCs w:val="20"/>
              </w:rPr>
              <w:t xml:space="preserve"> are </w:t>
            </w:r>
            <w:r w:rsidRPr="007B64B0">
              <w:rPr>
                <w:rFonts w:ascii="TimesTenLTStd-Italic" w:hAnsi="TimesTenLTStd-Italic" w:cs="TimesTenLTStd-Italic"/>
                <w:iCs/>
                <w:sz w:val="20"/>
                <w:szCs w:val="20"/>
              </w:rPr>
              <w:t>isolated. Several hypotheses are presented to explain these patterns.</w:t>
            </w:r>
          </w:p>
        </w:tc>
      </w:tr>
      <w:tr w:rsidR="007B64B0" w:rsidTr="00A36DF2">
        <w:trPr>
          <w:trHeight w:val="1205"/>
        </w:trPr>
        <w:tc>
          <w:tcPr>
            <w:tcW w:w="6636" w:type="dxa"/>
          </w:tcPr>
          <w:p w:rsidR="007B64B0" w:rsidRPr="007B64B0" w:rsidRDefault="007B64B0" w:rsidP="007B64B0">
            <w:pPr>
              <w:autoSpaceDE w:val="0"/>
              <w:autoSpaceDN w:val="0"/>
              <w:adjustRightInd w:val="0"/>
              <w:rPr>
                <w:rFonts w:ascii="TimesTenLTStd-Bold" w:hAnsi="TimesTenLTStd-Bold" w:cs="TimesTenLTStd-Bold"/>
                <w:b/>
                <w:bCs/>
                <w:sz w:val="44"/>
                <w:szCs w:val="44"/>
              </w:rPr>
            </w:pPr>
            <w:r w:rsidRPr="007B64B0">
              <w:rPr>
                <w:rFonts w:ascii="TimesTenLTStd-Bold" w:hAnsi="TimesTenLTStd-Bold" w:cs="TimesTenLTStd-Bold"/>
                <w:b/>
                <w:bCs/>
                <w:sz w:val="44"/>
                <w:szCs w:val="44"/>
              </w:rPr>
              <w:t>Spanish Missions in the Indigenous Landscape:</w:t>
            </w:r>
          </w:p>
          <w:p w:rsidR="007B64B0" w:rsidRPr="007B64B0" w:rsidRDefault="007B64B0" w:rsidP="007B64B0">
            <w:pPr>
              <w:autoSpaceDE w:val="0"/>
              <w:autoSpaceDN w:val="0"/>
              <w:adjustRightInd w:val="0"/>
              <w:rPr>
                <w:rFonts w:ascii="TimesTenLTStd-Bold" w:hAnsi="TimesTenLTStd-Bold" w:cs="TimesTenLTStd-Bold"/>
                <w:b/>
                <w:bCs/>
                <w:sz w:val="44"/>
                <w:szCs w:val="44"/>
              </w:rPr>
            </w:pPr>
            <w:r w:rsidRPr="007B64B0">
              <w:rPr>
                <w:rFonts w:ascii="TimesTenLTStd-Bold" w:hAnsi="TimesTenLTStd-Bold" w:cs="TimesTenLTStd-Bold"/>
                <w:b/>
                <w:bCs/>
                <w:sz w:val="44"/>
                <w:szCs w:val="44"/>
              </w:rPr>
              <w:t>A View from Mission Santa Catalina,</w:t>
            </w:r>
          </w:p>
          <w:p w:rsidR="007B64B0" w:rsidRDefault="007B64B0" w:rsidP="007B64B0">
            <w:pPr>
              <w:autoSpaceDE w:val="0"/>
              <w:autoSpaceDN w:val="0"/>
              <w:adjustRightInd w:val="0"/>
              <w:rPr>
                <w:rFonts w:ascii="TimesTenLTStd-Bold" w:hAnsi="TimesTenLTStd-Bold" w:cs="TimesTenLTStd-Bold"/>
                <w:b/>
                <w:bCs/>
                <w:sz w:val="44"/>
                <w:szCs w:val="44"/>
              </w:rPr>
            </w:pPr>
            <w:r w:rsidRPr="007B64B0">
              <w:rPr>
                <w:rFonts w:ascii="TimesTenLTStd-Bold" w:hAnsi="TimesTenLTStd-Bold" w:cs="TimesTenLTStd-Bold"/>
                <w:b/>
                <w:bCs/>
                <w:sz w:val="44"/>
                <w:szCs w:val="44"/>
              </w:rPr>
              <w:t>Baja California</w:t>
            </w:r>
          </w:p>
        </w:tc>
        <w:tc>
          <w:tcPr>
            <w:tcW w:w="6636" w:type="dxa"/>
          </w:tcPr>
          <w:p w:rsidR="007B64B0" w:rsidRPr="007B64B0" w:rsidRDefault="007B64B0" w:rsidP="007B64B0">
            <w:pPr>
              <w:autoSpaceDE w:val="0"/>
              <w:autoSpaceDN w:val="0"/>
              <w:adjustRightInd w:val="0"/>
              <w:rPr>
                <w:rFonts w:ascii="TimesTenLTStd-Italic" w:hAnsi="TimesTenLTStd-Italic" w:cs="TimesTenLTStd-Italic"/>
                <w:iCs/>
                <w:sz w:val="20"/>
                <w:szCs w:val="20"/>
              </w:rPr>
            </w:pPr>
            <w:r w:rsidRPr="007B64B0">
              <w:rPr>
                <w:rFonts w:ascii="TimesTenLTStd-Italic" w:hAnsi="TimesTenLTStd-Italic" w:cs="TimesTenLTStd-Italic"/>
                <w:iCs/>
                <w:sz w:val="20"/>
                <w:szCs w:val="20"/>
              </w:rPr>
              <w:t>Mission Santa Catalina was founded on the margins of the Spanish colonial frontier i</w:t>
            </w:r>
            <w:r>
              <w:rPr>
                <w:rFonts w:ascii="TimesTenLTStd-Italic" w:hAnsi="TimesTenLTStd-Italic" w:cs="TimesTenLTStd-Italic"/>
                <w:iCs/>
                <w:sz w:val="20"/>
                <w:szCs w:val="20"/>
              </w:rPr>
              <w:t xml:space="preserve">n northern Baja California, but </w:t>
            </w:r>
            <w:r w:rsidRPr="007B64B0">
              <w:rPr>
                <w:rFonts w:ascii="TimesTenLTStd-Italic" w:hAnsi="TimesTenLTStd-Italic" w:cs="TimesTenLTStd-Italic"/>
                <w:iCs/>
                <w:sz w:val="20"/>
                <w:szCs w:val="20"/>
              </w:rPr>
              <w:t>over time it became an important place in the indigenous landscape of the region. Dominican friars established the</w:t>
            </w:r>
          </w:p>
          <w:p w:rsidR="007B64B0" w:rsidRPr="007B64B0" w:rsidRDefault="007B64B0" w:rsidP="007B64B0">
            <w:pPr>
              <w:autoSpaceDE w:val="0"/>
              <w:autoSpaceDN w:val="0"/>
              <w:adjustRightInd w:val="0"/>
              <w:rPr>
                <w:rFonts w:ascii="TimesTenLTStd-Italic" w:hAnsi="TimesTenLTStd-Italic" w:cs="TimesTenLTStd-Italic"/>
                <w:iCs/>
                <w:sz w:val="20"/>
                <w:szCs w:val="20"/>
              </w:rPr>
            </w:pPr>
            <w:proofErr w:type="gramStart"/>
            <w:r w:rsidRPr="007B64B0">
              <w:rPr>
                <w:rFonts w:ascii="TimesTenLTStd-Italic" w:hAnsi="TimesTenLTStd-Italic" w:cs="TimesTenLTStd-Italic"/>
                <w:iCs/>
                <w:sz w:val="20"/>
                <w:szCs w:val="20"/>
              </w:rPr>
              <w:t>mission</w:t>
            </w:r>
            <w:proofErr w:type="gramEnd"/>
            <w:r w:rsidRPr="007B64B0">
              <w:rPr>
                <w:rFonts w:ascii="TimesTenLTStd-Italic" w:hAnsi="TimesTenLTStd-Italic" w:cs="TimesTenLTStd-Italic"/>
                <w:iCs/>
                <w:sz w:val="20"/>
                <w:szCs w:val="20"/>
              </w:rPr>
              <w:t xml:space="preserve"> at a crossroads of native interact</w:t>
            </w:r>
            <w:r>
              <w:rPr>
                <w:rFonts w:ascii="TimesTenLTStd-Italic" w:hAnsi="TimesTenLTStd-Italic" w:cs="TimesTenLTStd-Italic"/>
                <w:iCs/>
                <w:sz w:val="20"/>
                <w:szCs w:val="20"/>
              </w:rPr>
              <w:t xml:space="preserve">ion, and recent archaeological, </w:t>
            </w:r>
            <w:r w:rsidRPr="007B64B0">
              <w:rPr>
                <w:rFonts w:ascii="TimesTenLTStd-Italic" w:hAnsi="TimesTenLTStd-Italic" w:cs="TimesTenLTStd-Italic"/>
                <w:iCs/>
                <w:sz w:val="20"/>
                <w:szCs w:val="20"/>
              </w:rPr>
              <w:t>archival, and</w:t>
            </w:r>
            <w:r>
              <w:rPr>
                <w:rFonts w:ascii="TimesTenLTStd-Italic" w:hAnsi="TimesTenLTStd-Italic" w:cs="TimesTenLTStd-Italic"/>
                <w:iCs/>
                <w:sz w:val="20"/>
                <w:szCs w:val="20"/>
              </w:rPr>
              <w:t xml:space="preserve"> ethnographic research suggests </w:t>
            </w:r>
            <w:r w:rsidRPr="007B64B0">
              <w:rPr>
                <w:rFonts w:ascii="TimesTenLTStd-Italic" w:hAnsi="TimesTenLTStd-Italic" w:cs="TimesTenLTStd-Italic"/>
                <w:iCs/>
                <w:sz w:val="20"/>
                <w:szCs w:val="20"/>
              </w:rPr>
              <w:t xml:space="preserve">that indigenous mission neophytes continued to engage in dynamic social and economic </w:t>
            </w:r>
            <w:r>
              <w:rPr>
                <w:rFonts w:ascii="TimesTenLTStd-Italic" w:hAnsi="TimesTenLTStd-Italic" w:cs="TimesTenLTStd-Italic"/>
                <w:iCs/>
                <w:sz w:val="20"/>
                <w:szCs w:val="20"/>
              </w:rPr>
              <w:t xml:space="preserve">relationships with other native </w:t>
            </w:r>
            <w:r w:rsidRPr="007B64B0">
              <w:rPr>
                <w:rFonts w:ascii="TimesTenLTStd-Italic" w:hAnsi="TimesTenLTStd-Italic" w:cs="TimesTenLTStd-Italic"/>
                <w:iCs/>
                <w:sz w:val="20"/>
                <w:szCs w:val="20"/>
              </w:rPr>
              <w:t>groups throughout the colonial period. At the same time, however, the diverse native peop</w:t>
            </w:r>
            <w:r>
              <w:rPr>
                <w:rFonts w:ascii="TimesTenLTStd-Italic" w:hAnsi="TimesTenLTStd-Italic" w:cs="TimesTenLTStd-Italic"/>
                <w:iCs/>
                <w:sz w:val="20"/>
                <w:szCs w:val="20"/>
              </w:rPr>
              <w:t xml:space="preserve">les who lived at Santa Catalina </w:t>
            </w:r>
            <w:r w:rsidRPr="007B64B0">
              <w:rPr>
                <w:rFonts w:ascii="TimesTenLTStd-Italic" w:hAnsi="TimesTenLTStd-Italic" w:cs="TimesTenLTStd-Italic"/>
                <w:iCs/>
                <w:sz w:val="20"/>
                <w:szCs w:val="20"/>
              </w:rPr>
              <w:t>formed new bonds to each other and to the lands around the mission itself. Together, t</w:t>
            </w:r>
            <w:r>
              <w:rPr>
                <w:rFonts w:ascii="TimesTenLTStd-Italic" w:hAnsi="TimesTenLTStd-Italic" w:cs="TimesTenLTStd-Italic"/>
                <w:iCs/>
                <w:sz w:val="20"/>
                <w:szCs w:val="20"/>
              </w:rPr>
              <w:t xml:space="preserve">hese two processes suggest that </w:t>
            </w:r>
            <w:r w:rsidRPr="007B64B0">
              <w:rPr>
                <w:rFonts w:ascii="TimesTenLTStd-Italic" w:hAnsi="TimesTenLTStd-Italic" w:cs="TimesTenLTStd-Italic"/>
                <w:iCs/>
                <w:sz w:val="20"/>
                <w:szCs w:val="20"/>
              </w:rPr>
              <w:t>the mission’s neophyte population was not isolated from the broader indigenous land</w:t>
            </w:r>
            <w:r>
              <w:rPr>
                <w:rFonts w:ascii="TimesTenLTStd-Italic" w:hAnsi="TimesTenLTStd-Italic" w:cs="TimesTenLTStd-Italic"/>
                <w:iCs/>
                <w:sz w:val="20"/>
                <w:szCs w:val="20"/>
              </w:rPr>
              <w:t xml:space="preserve">scape, and that although it was </w:t>
            </w:r>
            <w:r w:rsidRPr="007B64B0">
              <w:rPr>
                <w:rFonts w:ascii="TimesTenLTStd-Italic" w:hAnsi="TimesTenLTStd-Italic" w:cs="TimesTenLTStd-Italic"/>
                <w:iCs/>
                <w:sz w:val="20"/>
                <w:szCs w:val="20"/>
              </w:rPr>
              <w:t>marginal from the point of view of the Spanish, Santa Catalina was—and contin</w:t>
            </w:r>
            <w:r w:rsidR="00510C97">
              <w:rPr>
                <w:rFonts w:ascii="TimesTenLTStd-Italic" w:hAnsi="TimesTenLTStd-Italic" w:cs="TimesTenLTStd-Italic"/>
                <w:iCs/>
                <w:sz w:val="20"/>
                <w:szCs w:val="20"/>
              </w:rPr>
              <w:t xml:space="preserve">ues to be—an important place </w:t>
            </w:r>
            <w:proofErr w:type="spellStart"/>
            <w:r w:rsidR="00510C97">
              <w:rPr>
                <w:rFonts w:ascii="TimesTenLTStd-Italic" w:hAnsi="TimesTenLTStd-Italic" w:cs="TimesTenLTStd-Italic"/>
                <w:iCs/>
                <w:sz w:val="20"/>
                <w:szCs w:val="20"/>
              </w:rPr>
              <w:t>in</w:t>
            </w:r>
            <w:r w:rsidRPr="007B64B0">
              <w:rPr>
                <w:rFonts w:ascii="TimesTenLTStd-Italic" w:hAnsi="TimesTenLTStd-Italic" w:cs="TimesTenLTStd-Italic"/>
                <w:iCs/>
                <w:sz w:val="20"/>
                <w:szCs w:val="20"/>
              </w:rPr>
              <w:t>native</w:t>
            </w:r>
            <w:proofErr w:type="spellEnd"/>
            <w:r w:rsidRPr="007B64B0">
              <w:rPr>
                <w:rFonts w:ascii="TimesTenLTStd-Italic" w:hAnsi="TimesTenLTStd-Italic" w:cs="TimesTenLTStd-Italic"/>
                <w:iCs/>
                <w:sz w:val="20"/>
                <w:szCs w:val="20"/>
              </w:rPr>
              <w:t xml:space="preserve"> Baja California.</w:t>
            </w:r>
          </w:p>
        </w:tc>
      </w:tr>
      <w:tr w:rsidR="00510C97" w:rsidTr="00A36DF2">
        <w:trPr>
          <w:trHeight w:val="1205"/>
        </w:trPr>
        <w:tc>
          <w:tcPr>
            <w:tcW w:w="6636" w:type="dxa"/>
          </w:tcPr>
          <w:p w:rsidR="00510C97" w:rsidRPr="007B64B0" w:rsidRDefault="00510C97" w:rsidP="007B64B0">
            <w:pPr>
              <w:autoSpaceDE w:val="0"/>
              <w:autoSpaceDN w:val="0"/>
              <w:adjustRightInd w:val="0"/>
              <w:rPr>
                <w:rFonts w:ascii="TimesTenLTStd-Bold" w:hAnsi="TimesTenLTStd-Bold" w:cs="TimesTenLTStd-Bold"/>
                <w:b/>
                <w:bCs/>
                <w:sz w:val="44"/>
                <w:szCs w:val="44"/>
              </w:rPr>
            </w:pPr>
            <w:r w:rsidRPr="00510C97">
              <w:rPr>
                <w:rFonts w:ascii="TimesTenLTStd-Bold" w:hAnsi="TimesTenLTStd-Bold" w:cs="TimesTenLTStd-Bold"/>
                <w:b/>
                <w:bCs/>
                <w:sz w:val="44"/>
                <w:szCs w:val="44"/>
              </w:rPr>
              <w:lastRenderedPageBreak/>
              <w:t>LOST AND FOUND</w:t>
            </w:r>
          </w:p>
        </w:tc>
        <w:tc>
          <w:tcPr>
            <w:tcW w:w="6636" w:type="dxa"/>
          </w:tcPr>
          <w:p w:rsidR="00510C97" w:rsidRPr="007B64B0" w:rsidRDefault="00510C97" w:rsidP="00510C97">
            <w:pPr>
              <w:autoSpaceDE w:val="0"/>
              <w:autoSpaceDN w:val="0"/>
              <w:adjustRightInd w:val="0"/>
              <w:rPr>
                <w:rFonts w:ascii="TimesTenLTStd-Italic" w:hAnsi="TimesTenLTStd-Italic" w:cs="TimesTenLTStd-Italic"/>
                <w:iCs/>
                <w:sz w:val="20"/>
                <w:szCs w:val="20"/>
              </w:rPr>
            </w:pPr>
            <w:r w:rsidRPr="00510C97">
              <w:rPr>
                <w:rFonts w:ascii="TimesTenLTStd-Italic" w:hAnsi="TimesTenLTStd-Italic" w:cs="TimesTenLTStd-Italic"/>
                <w:iCs/>
                <w:sz w:val="20"/>
                <w:szCs w:val="20"/>
              </w:rPr>
              <w:t xml:space="preserve">In 1897, David R. </w:t>
            </w:r>
            <w:proofErr w:type="spellStart"/>
            <w:r w:rsidRPr="00510C97">
              <w:rPr>
                <w:rFonts w:ascii="TimesTenLTStd-Italic" w:hAnsi="TimesTenLTStd-Italic" w:cs="TimesTenLTStd-Italic"/>
                <w:iCs/>
                <w:sz w:val="20"/>
                <w:szCs w:val="20"/>
              </w:rPr>
              <w:t>Leeper</w:t>
            </w:r>
            <w:proofErr w:type="spellEnd"/>
            <w:r w:rsidRPr="00510C97">
              <w:rPr>
                <w:rFonts w:ascii="TimesTenLTStd-Italic" w:hAnsi="TimesTenLTStd-Italic" w:cs="TimesTenLTStd-Italic"/>
                <w:iCs/>
                <w:sz w:val="20"/>
                <w:szCs w:val="20"/>
              </w:rPr>
              <w:t xml:space="preserve"> initiated a discussion on t</w:t>
            </w:r>
            <w:r>
              <w:rPr>
                <w:rFonts w:ascii="TimesTenLTStd-Italic" w:hAnsi="TimesTenLTStd-Italic" w:cs="TimesTenLTStd-Italic"/>
                <w:iCs/>
                <w:sz w:val="20"/>
                <w:szCs w:val="20"/>
              </w:rPr>
              <w:t xml:space="preserve">he survival of lithic </w:t>
            </w:r>
            <w:r w:rsidRPr="00510C97">
              <w:rPr>
                <w:rFonts w:ascii="TimesTenLTStd-Italic" w:hAnsi="TimesTenLTStd-Italic" w:cs="TimesTenLTStd-Italic"/>
                <w:iCs/>
                <w:sz w:val="20"/>
                <w:szCs w:val="20"/>
              </w:rPr>
              <w:t xml:space="preserve">technology </w:t>
            </w:r>
            <w:r>
              <w:rPr>
                <w:rFonts w:ascii="TimesTenLTStd-Italic" w:hAnsi="TimesTenLTStd-Italic" w:cs="TimesTenLTStd-Italic"/>
                <w:iCs/>
                <w:sz w:val="20"/>
                <w:szCs w:val="20"/>
              </w:rPr>
              <w:t xml:space="preserve">in California in the </w:t>
            </w:r>
            <w:proofErr w:type="spellStart"/>
            <w:r>
              <w:rPr>
                <w:rFonts w:ascii="TimesTenLTStd-Italic" w:hAnsi="TimesTenLTStd-Italic" w:cs="TimesTenLTStd-Italic"/>
                <w:iCs/>
                <w:sz w:val="20"/>
                <w:szCs w:val="20"/>
              </w:rPr>
              <w:t>shortlived</w:t>
            </w:r>
            <w:proofErr w:type="spellEnd"/>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 xml:space="preserve">journal </w:t>
            </w:r>
            <w:r w:rsidRPr="00510C97">
              <w:rPr>
                <w:rFonts w:ascii="TimesTenLTStd-Italic" w:hAnsi="TimesTenLTStd-Italic" w:cs="TimesTenLTStd-Italic"/>
                <w:i/>
                <w:iCs/>
                <w:sz w:val="20"/>
                <w:szCs w:val="20"/>
              </w:rPr>
              <w:t>The Antiquarian</w:t>
            </w:r>
            <w:r>
              <w:rPr>
                <w:rFonts w:ascii="TimesTenLTStd-Italic" w:hAnsi="TimesTenLTStd-Italic" w:cs="TimesTenLTStd-Italic"/>
                <w:iCs/>
                <w:sz w:val="20"/>
                <w:szCs w:val="20"/>
              </w:rPr>
              <w:t xml:space="preserve"> and its successor the </w:t>
            </w:r>
            <w:r w:rsidRPr="00510C97">
              <w:rPr>
                <w:rFonts w:ascii="TimesTenLTStd-Italic" w:hAnsi="TimesTenLTStd-Italic" w:cs="TimesTenLTStd-Italic"/>
                <w:i/>
                <w:iCs/>
                <w:sz w:val="20"/>
                <w:szCs w:val="20"/>
              </w:rPr>
              <w:t>American Archaeologist</w:t>
            </w:r>
            <w:r>
              <w:rPr>
                <w:rFonts w:ascii="TimesTenLTStd-Italic" w:hAnsi="TimesTenLTStd-Italic" w:cs="TimesTenLTStd-Italic"/>
                <w:iCs/>
                <w:sz w:val="20"/>
                <w:szCs w:val="20"/>
              </w:rPr>
              <w:t xml:space="preserve">, and started a debate that ran </w:t>
            </w:r>
            <w:r w:rsidRPr="00510C97">
              <w:rPr>
                <w:rFonts w:ascii="TimesTenLTStd-Italic" w:hAnsi="TimesTenLTStd-Italic" w:cs="TimesTenLTStd-Italic"/>
                <w:iCs/>
                <w:sz w:val="20"/>
                <w:szCs w:val="20"/>
              </w:rPr>
              <w:t xml:space="preserve">for several issues and </w:t>
            </w:r>
            <w:r>
              <w:rPr>
                <w:rFonts w:ascii="TimesTenLTStd-Italic" w:hAnsi="TimesTenLTStd-Italic" w:cs="TimesTenLTStd-Italic"/>
                <w:iCs/>
                <w:sz w:val="20"/>
                <w:szCs w:val="20"/>
              </w:rPr>
              <w:t xml:space="preserve">to which a number of pioneering figures contributed. </w:t>
            </w:r>
            <w:r w:rsidRPr="00510C97">
              <w:rPr>
                <w:rFonts w:ascii="TimesTenLTStd-Italic" w:hAnsi="TimesTenLTStd-Italic" w:cs="TimesTenLTStd-Italic"/>
                <w:iCs/>
                <w:sz w:val="20"/>
                <w:szCs w:val="20"/>
              </w:rPr>
              <w:t>Their recollect</w:t>
            </w:r>
            <w:r>
              <w:rPr>
                <w:rFonts w:ascii="TimesTenLTStd-Italic" w:hAnsi="TimesTenLTStd-Italic" w:cs="TimesTenLTStd-Italic"/>
                <w:iCs/>
                <w:sz w:val="20"/>
                <w:szCs w:val="20"/>
              </w:rPr>
              <w:t xml:space="preserve">ions of early days </w:t>
            </w:r>
            <w:r w:rsidRPr="00510C97">
              <w:rPr>
                <w:rFonts w:ascii="TimesTenLTStd-Italic" w:hAnsi="TimesTenLTStd-Italic" w:cs="TimesTenLTStd-Italic"/>
                <w:iCs/>
                <w:sz w:val="20"/>
                <w:szCs w:val="20"/>
              </w:rPr>
              <w:t>in the state and their</w:t>
            </w:r>
            <w:r>
              <w:rPr>
                <w:rFonts w:ascii="TimesTenLTStd-Italic" w:hAnsi="TimesTenLTStd-Italic" w:cs="TimesTenLTStd-Italic"/>
                <w:iCs/>
                <w:sz w:val="20"/>
                <w:szCs w:val="20"/>
              </w:rPr>
              <w:t xml:space="preserve"> encounters with native peoples </w:t>
            </w:r>
            <w:r w:rsidRPr="00510C97">
              <w:rPr>
                <w:rFonts w:ascii="TimesTenLTStd-Italic" w:hAnsi="TimesTenLTStd-Italic" w:cs="TimesTenLTStd-Italic"/>
                <w:iCs/>
                <w:sz w:val="20"/>
                <w:szCs w:val="20"/>
              </w:rPr>
              <w:t xml:space="preserve">often reflect some of the </w:t>
            </w:r>
            <w:r>
              <w:rPr>
                <w:rFonts w:ascii="TimesTenLTStd-Italic" w:hAnsi="TimesTenLTStd-Italic" w:cs="TimesTenLTStd-Italic"/>
                <w:iCs/>
                <w:sz w:val="20"/>
                <w:szCs w:val="20"/>
              </w:rPr>
              <w:t xml:space="preserve">cultural biases of the day, but </w:t>
            </w:r>
            <w:r w:rsidRPr="00510C97">
              <w:rPr>
                <w:rFonts w:ascii="TimesTenLTStd-Italic" w:hAnsi="TimesTenLTStd-Italic" w:cs="TimesTenLTStd-Italic"/>
                <w:iCs/>
                <w:sz w:val="20"/>
                <w:szCs w:val="20"/>
              </w:rPr>
              <w:t>they also contain intere</w:t>
            </w:r>
            <w:r>
              <w:rPr>
                <w:rFonts w:ascii="TimesTenLTStd-Italic" w:hAnsi="TimesTenLTStd-Italic" w:cs="TimesTenLTStd-Italic"/>
                <w:iCs/>
                <w:sz w:val="20"/>
                <w:szCs w:val="20"/>
              </w:rPr>
              <w:t xml:space="preserve">sting observations and valuable </w:t>
            </w:r>
            <w:r w:rsidRPr="00510C97">
              <w:rPr>
                <w:rFonts w:ascii="TimesTenLTStd-Italic" w:hAnsi="TimesTenLTStd-Italic" w:cs="TimesTenLTStd-Italic"/>
                <w:iCs/>
                <w:sz w:val="20"/>
                <w:szCs w:val="20"/>
              </w:rPr>
              <w:t>data available nowher</w:t>
            </w:r>
            <w:r>
              <w:rPr>
                <w:rFonts w:ascii="TimesTenLTStd-Italic" w:hAnsi="TimesTenLTStd-Italic" w:cs="TimesTenLTStd-Italic"/>
                <w:iCs/>
                <w:sz w:val="20"/>
                <w:szCs w:val="20"/>
              </w:rPr>
              <w:t xml:space="preserve">e else. The more significant of </w:t>
            </w:r>
            <w:r w:rsidRPr="00510C97">
              <w:rPr>
                <w:rFonts w:ascii="TimesTenLTStd-Italic" w:hAnsi="TimesTenLTStd-Italic" w:cs="TimesTenLTStd-Italic"/>
                <w:iCs/>
                <w:sz w:val="20"/>
                <w:szCs w:val="20"/>
              </w:rPr>
              <w:t>these are reprinted here, w</w:t>
            </w:r>
            <w:r>
              <w:rPr>
                <w:rFonts w:ascii="TimesTenLTStd-Italic" w:hAnsi="TimesTenLTStd-Italic" w:cs="TimesTenLTStd-Italic"/>
                <w:iCs/>
                <w:sz w:val="20"/>
                <w:szCs w:val="20"/>
              </w:rPr>
              <w:t xml:space="preserve">ith a few figures, some lengthy </w:t>
            </w:r>
            <w:r w:rsidRPr="00510C97">
              <w:rPr>
                <w:rFonts w:ascii="TimesTenLTStd-Italic" w:hAnsi="TimesTenLTStd-Italic" w:cs="TimesTenLTStd-Italic"/>
                <w:iCs/>
                <w:sz w:val="20"/>
                <w:szCs w:val="20"/>
              </w:rPr>
              <w:t>quotes from published so</w:t>
            </w:r>
            <w:r>
              <w:rPr>
                <w:rFonts w:ascii="TimesTenLTStd-Italic" w:hAnsi="TimesTenLTStd-Italic" w:cs="TimesTenLTStd-Italic"/>
                <w:iCs/>
                <w:sz w:val="20"/>
                <w:szCs w:val="20"/>
              </w:rPr>
              <w:t xml:space="preserve">urces, and extraneous materials </w:t>
            </w:r>
            <w:r w:rsidRPr="00510C97">
              <w:rPr>
                <w:rFonts w:ascii="TimesTenLTStd-Italic" w:hAnsi="TimesTenLTStd-Italic" w:cs="TimesTenLTStd-Italic"/>
                <w:iCs/>
                <w:sz w:val="20"/>
                <w:szCs w:val="20"/>
              </w:rPr>
              <w:t>deleted. The deletions are i</w:t>
            </w:r>
            <w:r>
              <w:rPr>
                <w:rFonts w:ascii="TimesTenLTStd-Italic" w:hAnsi="TimesTenLTStd-Italic" w:cs="TimesTenLTStd-Italic"/>
                <w:iCs/>
                <w:sz w:val="20"/>
                <w:szCs w:val="20"/>
              </w:rPr>
              <w:t xml:space="preserve">ndicated by points of ellipsis; </w:t>
            </w:r>
            <w:r w:rsidRPr="00510C97">
              <w:rPr>
                <w:rFonts w:ascii="TimesTenLTStd-Italic" w:hAnsi="TimesTenLTStd-Italic" w:cs="TimesTenLTStd-Italic"/>
                <w:iCs/>
                <w:sz w:val="20"/>
                <w:szCs w:val="20"/>
              </w:rPr>
              <w:t>the interested reader will fi</w:t>
            </w:r>
            <w:r>
              <w:rPr>
                <w:rFonts w:ascii="TimesTenLTStd-Italic" w:hAnsi="TimesTenLTStd-Italic" w:cs="TimesTenLTStd-Italic"/>
                <w:iCs/>
                <w:sz w:val="20"/>
                <w:szCs w:val="20"/>
              </w:rPr>
              <w:t xml:space="preserve">nd the complete, original texts </w:t>
            </w:r>
            <w:r w:rsidRPr="00510C97">
              <w:rPr>
                <w:rFonts w:ascii="TimesTenLTStd-Italic" w:hAnsi="TimesTenLTStd-Italic" w:cs="TimesTenLTStd-Italic"/>
                <w:iCs/>
                <w:sz w:val="20"/>
                <w:szCs w:val="20"/>
              </w:rPr>
              <w:t>readily available online through Google Book Search.</w:t>
            </w:r>
          </w:p>
        </w:tc>
      </w:tr>
      <w:tr w:rsidR="00510C97" w:rsidTr="00A36DF2">
        <w:trPr>
          <w:trHeight w:val="1205"/>
        </w:trPr>
        <w:tc>
          <w:tcPr>
            <w:tcW w:w="6636" w:type="dxa"/>
          </w:tcPr>
          <w:p w:rsidR="00510C97" w:rsidRPr="00510C97" w:rsidRDefault="00510C97" w:rsidP="00510C97">
            <w:pPr>
              <w:autoSpaceDE w:val="0"/>
              <w:autoSpaceDN w:val="0"/>
              <w:adjustRightInd w:val="0"/>
              <w:rPr>
                <w:rFonts w:ascii="TimesTenLTStd-Bold" w:hAnsi="TimesTenLTStd-Bold" w:cs="TimesTenLTStd-Bold"/>
                <w:b/>
                <w:bCs/>
                <w:iCs/>
                <w:sz w:val="44"/>
                <w:szCs w:val="44"/>
              </w:rPr>
            </w:pPr>
            <w:r w:rsidRPr="00510C97">
              <w:rPr>
                <w:rFonts w:ascii="TimesTenLTStd-Bold" w:hAnsi="TimesTenLTStd-Bold" w:cs="TimesTenLTStd-Bold"/>
                <w:b/>
                <w:bCs/>
                <w:iCs/>
                <w:sz w:val="44"/>
                <w:szCs w:val="44"/>
              </w:rPr>
              <w:t>The Punta Arena Site:</w:t>
            </w:r>
          </w:p>
          <w:p w:rsidR="00510C97" w:rsidRPr="00510C97" w:rsidRDefault="00510C97" w:rsidP="00510C97">
            <w:pPr>
              <w:autoSpaceDE w:val="0"/>
              <w:autoSpaceDN w:val="0"/>
              <w:adjustRightInd w:val="0"/>
              <w:rPr>
                <w:rFonts w:ascii="TimesTenLTStd-Bold" w:hAnsi="TimesTenLTStd-Bold" w:cs="TimesTenLTStd-Bold"/>
                <w:b/>
                <w:bCs/>
                <w:iCs/>
                <w:sz w:val="44"/>
                <w:szCs w:val="44"/>
              </w:rPr>
            </w:pPr>
            <w:r w:rsidRPr="00510C97">
              <w:rPr>
                <w:rFonts w:ascii="TimesTenLTStd-Bold" w:hAnsi="TimesTenLTStd-Bold" w:cs="TimesTenLTStd-Bold"/>
                <w:b/>
                <w:bCs/>
                <w:iCs/>
                <w:sz w:val="44"/>
                <w:szCs w:val="44"/>
              </w:rPr>
              <w:t>Early and Middle Holocene</w:t>
            </w:r>
          </w:p>
          <w:p w:rsidR="00510C97" w:rsidRPr="00510C97" w:rsidRDefault="00510C97" w:rsidP="00510C97">
            <w:pPr>
              <w:autoSpaceDE w:val="0"/>
              <w:autoSpaceDN w:val="0"/>
              <w:adjustRightInd w:val="0"/>
              <w:rPr>
                <w:rFonts w:ascii="TimesTenLTStd-Bold" w:hAnsi="TimesTenLTStd-Bold" w:cs="TimesTenLTStd-Bold"/>
                <w:b/>
                <w:bCs/>
                <w:iCs/>
                <w:sz w:val="44"/>
                <w:szCs w:val="44"/>
              </w:rPr>
            </w:pPr>
            <w:r w:rsidRPr="00510C97">
              <w:rPr>
                <w:rFonts w:ascii="TimesTenLTStd-Bold" w:hAnsi="TimesTenLTStd-Bold" w:cs="TimesTenLTStd-Bold"/>
                <w:b/>
                <w:bCs/>
                <w:iCs/>
                <w:sz w:val="44"/>
                <w:szCs w:val="44"/>
              </w:rPr>
              <w:t>Cultural Development</w:t>
            </w:r>
          </w:p>
          <w:p w:rsidR="00510C97" w:rsidRPr="00510C97" w:rsidRDefault="00510C97" w:rsidP="00510C97">
            <w:pPr>
              <w:autoSpaceDE w:val="0"/>
              <w:autoSpaceDN w:val="0"/>
              <w:adjustRightInd w:val="0"/>
              <w:rPr>
                <w:rFonts w:ascii="TimesTenLTStd-Bold" w:hAnsi="TimesTenLTStd-Bold" w:cs="TimesTenLTStd-Bold"/>
                <w:b/>
                <w:bCs/>
                <w:sz w:val="44"/>
                <w:szCs w:val="44"/>
              </w:rPr>
            </w:pPr>
            <w:r w:rsidRPr="00510C97">
              <w:rPr>
                <w:rFonts w:ascii="TimesTenLTStd-Bold" w:hAnsi="TimesTenLTStd-Bold" w:cs="TimesTenLTStd-Bold"/>
                <w:b/>
                <w:bCs/>
                <w:iCs/>
                <w:sz w:val="44"/>
                <w:szCs w:val="44"/>
              </w:rPr>
              <w:t>on Santa Cruz Island</w:t>
            </w:r>
          </w:p>
        </w:tc>
        <w:tc>
          <w:tcPr>
            <w:tcW w:w="6636" w:type="dxa"/>
          </w:tcPr>
          <w:p w:rsidR="00510C97" w:rsidRPr="00510C97" w:rsidRDefault="00510C97" w:rsidP="00510C97">
            <w:pPr>
              <w:autoSpaceDE w:val="0"/>
              <w:autoSpaceDN w:val="0"/>
              <w:adjustRightInd w:val="0"/>
              <w:rPr>
                <w:rFonts w:ascii="TimesTenLTStd-Italic" w:hAnsi="TimesTenLTStd-Italic" w:cs="TimesTenLTStd-Italic"/>
                <w:iCs/>
                <w:sz w:val="20"/>
                <w:szCs w:val="20"/>
              </w:rPr>
            </w:pPr>
            <w:r w:rsidRPr="00510C97">
              <w:rPr>
                <w:rFonts w:ascii="TimesTenLTStd-Italic" w:hAnsi="TimesTenLTStd-Italic" w:cs="TimesTenLTStd-Italic"/>
                <w:iCs/>
                <w:sz w:val="20"/>
                <w:szCs w:val="20"/>
              </w:rPr>
              <w:t>For over half a century, archaeologists have debated the</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relative influences of climate, environment, and culture</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on patterns observed in the Santa Barbara Channel</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prehistoric archaeological record of southern California.</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Such debates have been especially contentious over</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the timing of and triggers for the rise of socio-political</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complexity and institutionalized hierarchies among</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the Chumash of the Northern Channel Islands (e.g.,</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Arnold 1992; Gamble 2008; Kennett and Kennett 2000;</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Rick 2007), but have also extended into the deeper</w:t>
            </w:r>
            <w:r>
              <w:rPr>
                <w:rFonts w:ascii="TimesTenLTStd-Italic" w:hAnsi="TimesTenLTStd-Italic" w:cs="TimesTenLTStd-Italic"/>
                <w:iCs/>
                <w:sz w:val="20"/>
                <w:szCs w:val="20"/>
              </w:rPr>
              <w:t xml:space="preserve"> past. </w:t>
            </w:r>
            <w:r w:rsidRPr="00510C97">
              <w:rPr>
                <w:rFonts w:ascii="TimesTenLTStd-Italic" w:hAnsi="TimesTenLTStd-Italic" w:cs="TimesTenLTStd-Italic"/>
                <w:iCs/>
                <w:sz w:val="20"/>
                <w:szCs w:val="20"/>
              </w:rPr>
              <w:t>Archaeologists have used changes in sea surface</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temperatures (SST) and marine productivity, for</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example, to explain temporal variation in the relative</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 xml:space="preserve">abundances of shell </w:t>
            </w:r>
            <w:proofErr w:type="spellStart"/>
            <w:r w:rsidRPr="00510C97">
              <w:rPr>
                <w:rFonts w:ascii="TimesTenLTStd-Italic" w:hAnsi="TimesTenLTStd-Italic" w:cs="TimesTenLTStd-Italic"/>
                <w:iCs/>
                <w:sz w:val="20"/>
                <w:szCs w:val="20"/>
              </w:rPr>
              <w:t>midden</w:t>
            </w:r>
            <w:proofErr w:type="spellEnd"/>
            <w:r w:rsidRPr="00510C97">
              <w:rPr>
                <w:rFonts w:ascii="TimesTenLTStd-Italic" w:hAnsi="TimesTenLTStd-Italic" w:cs="TimesTenLTStd-Italic"/>
                <w:iCs/>
                <w:sz w:val="20"/>
                <w:szCs w:val="20"/>
              </w:rPr>
              <w:t xml:space="preserve"> faunal constituents, a theme</w:t>
            </w:r>
            <w:r>
              <w:rPr>
                <w:rFonts w:ascii="TimesTenLTStd-Italic" w:hAnsi="TimesTenLTStd-Italic" w:cs="TimesTenLTStd-Italic"/>
                <w:iCs/>
                <w:sz w:val="20"/>
                <w:szCs w:val="20"/>
              </w:rPr>
              <w:t xml:space="preserve"> </w:t>
            </w:r>
            <w:proofErr w:type="spellStart"/>
            <w:r w:rsidRPr="00510C97">
              <w:rPr>
                <w:rFonts w:ascii="TimesTenLTStd-Italic" w:hAnsi="TimesTenLTStd-Italic" w:cs="TimesTenLTStd-Italic"/>
                <w:iCs/>
                <w:sz w:val="20"/>
                <w:szCs w:val="20"/>
              </w:rPr>
              <w:t>Glassow</w:t>
            </w:r>
            <w:proofErr w:type="spellEnd"/>
            <w:r w:rsidRPr="00510C97">
              <w:rPr>
                <w:rFonts w:ascii="TimesTenLTStd-Italic" w:hAnsi="TimesTenLTStd-Italic" w:cs="TimesTenLTStd-Italic"/>
                <w:iCs/>
                <w:sz w:val="20"/>
                <w:szCs w:val="20"/>
              </w:rPr>
              <w:t>, Perry, and Paige have continued with their new</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book, offering an interesting case study of the complex</w:t>
            </w:r>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intersection between climate and culture.</w:t>
            </w:r>
          </w:p>
        </w:tc>
      </w:tr>
      <w:tr w:rsidR="00510C97" w:rsidTr="00A36DF2">
        <w:trPr>
          <w:trHeight w:val="1205"/>
        </w:trPr>
        <w:tc>
          <w:tcPr>
            <w:tcW w:w="6636" w:type="dxa"/>
          </w:tcPr>
          <w:p w:rsidR="00510C97" w:rsidRPr="00510C97" w:rsidRDefault="00510C97" w:rsidP="00510C97">
            <w:pPr>
              <w:autoSpaceDE w:val="0"/>
              <w:autoSpaceDN w:val="0"/>
              <w:adjustRightInd w:val="0"/>
              <w:rPr>
                <w:rFonts w:ascii="TimesTenLTStd-Bold" w:hAnsi="TimesTenLTStd-Bold" w:cs="TimesTenLTStd-Bold"/>
                <w:b/>
                <w:bCs/>
                <w:iCs/>
                <w:sz w:val="44"/>
                <w:szCs w:val="44"/>
              </w:rPr>
            </w:pPr>
            <w:r w:rsidRPr="00510C97">
              <w:rPr>
                <w:rFonts w:ascii="TimesTenLTStd-Bold" w:hAnsi="TimesTenLTStd-Bold" w:cs="TimesTenLTStd-Bold"/>
                <w:b/>
                <w:bCs/>
                <w:iCs/>
                <w:sz w:val="44"/>
                <w:szCs w:val="44"/>
              </w:rPr>
              <w:t>Thunder &amp; Herds:</w:t>
            </w:r>
          </w:p>
          <w:p w:rsidR="00510C97" w:rsidRPr="00510C97" w:rsidRDefault="00510C97" w:rsidP="00510C97">
            <w:pPr>
              <w:autoSpaceDE w:val="0"/>
              <w:autoSpaceDN w:val="0"/>
              <w:adjustRightInd w:val="0"/>
              <w:rPr>
                <w:rFonts w:ascii="TimesTenLTStd-Bold" w:hAnsi="TimesTenLTStd-Bold" w:cs="TimesTenLTStd-Bold"/>
                <w:b/>
                <w:bCs/>
                <w:iCs/>
                <w:sz w:val="44"/>
                <w:szCs w:val="44"/>
              </w:rPr>
            </w:pPr>
            <w:r w:rsidRPr="00510C97">
              <w:rPr>
                <w:rFonts w:ascii="TimesTenLTStd-Bold" w:hAnsi="TimesTenLTStd-Bold" w:cs="TimesTenLTStd-Bold"/>
                <w:b/>
                <w:bCs/>
                <w:iCs/>
                <w:sz w:val="44"/>
                <w:szCs w:val="44"/>
              </w:rPr>
              <w:t>Rock Art of the High Plains</w:t>
            </w:r>
          </w:p>
        </w:tc>
        <w:tc>
          <w:tcPr>
            <w:tcW w:w="6636" w:type="dxa"/>
          </w:tcPr>
          <w:p w:rsidR="00510C97" w:rsidRPr="00510C97" w:rsidRDefault="00510C97" w:rsidP="00510C97">
            <w:pPr>
              <w:autoSpaceDE w:val="0"/>
              <w:autoSpaceDN w:val="0"/>
              <w:adjustRightInd w:val="0"/>
              <w:rPr>
                <w:rFonts w:ascii="TimesTenLTStd-Roman" w:hAnsi="TimesTenLTStd-Roman" w:cs="TimesTenLTStd-Roman"/>
                <w:sz w:val="20"/>
                <w:szCs w:val="20"/>
              </w:rPr>
            </w:pPr>
            <w:r>
              <w:rPr>
                <w:rFonts w:ascii="TimesTenLTStd-Italic" w:hAnsi="TimesTenLTStd-Italic" w:cs="TimesTenLTStd-Italic"/>
                <w:i/>
                <w:iCs/>
                <w:sz w:val="20"/>
                <w:szCs w:val="20"/>
              </w:rPr>
              <w:t xml:space="preserve">Thunder &amp; Herds </w:t>
            </w:r>
            <w:r>
              <w:rPr>
                <w:rFonts w:ascii="TimesTenLTStd-Roman" w:hAnsi="TimesTenLTStd-Roman" w:cs="TimesTenLTStd-Roman"/>
                <w:sz w:val="20"/>
                <w:szCs w:val="20"/>
              </w:rPr>
              <w:t xml:space="preserve">is a thoroughly written and enlightening discussion of the rock art found in the central High Plains of southeastern Colorado, one of the richest rock art regions in the United States. Archaeologist Lawrence L. </w:t>
            </w:r>
            <w:proofErr w:type="spellStart"/>
            <w:r>
              <w:rPr>
                <w:rFonts w:ascii="TimesTenLTStd-Roman" w:hAnsi="TimesTenLTStd-Roman" w:cs="TimesTenLTStd-Roman"/>
                <w:sz w:val="20"/>
                <w:szCs w:val="20"/>
              </w:rPr>
              <w:t>Loendorf</w:t>
            </w:r>
            <w:proofErr w:type="spellEnd"/>
            <w:r>
              <w:rPr>
                <w:rFonts w:ascii="TimesTenLTStd-Roman" w:hAnsi="TimesTenLTStd-Roman" w:cs="TimesTenLTStd-Roman"/>
                <w:sz w:val="20"/>
                <w:szCs w:val="20"/>
              </w:rPr>
              <w:t>, a familiar figure in North American rock art studies, reports on the results of his two decades of research and study of this area. His book will be of particular interest to those archaeologists interested in the High Plains as well as to anyone who is interested in rock art.</w:t>
            </w:r>
          </w:p>
        </w:tc>
      </w:tr>
      <w:tr w:rsidR="00510C97" w:rsidTr="00A36DF2">
        <w:trPr>
          <w:trHeight w:val="1205"/>
        </w:trPr>
        <w:tc>
          <w:tcPr>
            <w:tcW w:w="6636" w:type="dxa"/>
          </w:tcPr>
          <w:p w:rsidR="00510C97" w:rsidRPr="00510C97" w:rsidRDefault="00510C97" w:rsidP="00510C97">
            <w:pPr>
              <w:autoSpaceDE w:val="0"/>
              <w:autoSpaceDN w:val="0"/>
              <w:adjustRightInd w:val="0"/>
              <w:rPr>
                <w:rFonts w:ascii="TimesTenLTStd-Bold" w:hAnsi="TimesTenLTStd-Bold" w:cs="TimesTenLTStd-Bold"/>
                <w:b/>
                <w:bCs/>
                <w:iCs/>
                <w:sz w:val="44"/>
                <w:szCs w:val="44"/>
              </w:rPr>
            </w:pPr>
            <w:r w:rsidRPr="00510C97">
              <w:rPr>
                <w:rFonts w:ascii="TimesTenLTStd-Bold" w:hAnsi="TimesTenLTStd-Bold" w:cs="TimesTenLTStd-Bold"/>
                <w:b/>
                <w:bCs/>
                <w:iCs/>
                <w:sz w:val="44"/>
                <w:szCs w:val="44"/>
              </w:rPr>
              <w:t>A Yankee in Mexican</w:t>
            </w:r>
          </w:p>
          <w:p w:rsidR="00510C97" w:rsidRPr="00510C97" w:rsidRDefault="00510C97" w:rsidP="00510C97">
            <w:pPr>
              <w:autoSpaceDE w:val="0"/>
              <w:autoSpaceDN w:val="0"/>
              <w:adjustRightInd w:val="0"/>
              <w:rPr>
                <w:rFonts w:ascii="TimesTenLTStd-Bold" w:hAnsi="TimesTenLTStd-Bold" w:cs="TimesTenLTStd-Bold"/>
                <w:b/>
                <w:bCs/>
                <w:iCs/>
                <w:sz w:val="44"/>
                <w:szCs w:val="44"/>
              </w:rPr>
            </w:pPr>
            <w:r w:rsidRPr="00510C97">
              <w:rPr>
                <w:rFonts w:ascii="TimesTenLTStd-Bold" w:hAnsi="TimesTenLTStd-Bold" w:cs="TimesTenLTStd-Bold"/>
                <w:b/>
                <w:bCs/>
                <w:iCs/>
                <w:sz w:val="44"/>
                <w:szCs w:val="44"/>
              </w:rPr>
              <w:t>California, 1834–1836</w:t>
            </w:r>
          </w:p>
        </w:tc>
        <w:tc>
          <w:tcPr>
            <w:tcW w:w="6636" w:type="dxa"/>
          </w:tcPr>
          <w:p w:rsidR="00510C97" w:rsidRPr="00DB7295" w:rsidRDefault="00510C97" w:rsidP="00510C97">
            <w:pPr>
              <w:autoSpaceDE w:val="0"/>
              <w:autoSpaceDN w:val="0"/>
              <w:adjustRightInd w:val="0"/>
              <w:rPr>
                <w:rFonts w:ascii="TimesTenLTStd-Italic" w:hAnsi="TimesTenLTStd-Italic" w:cs="TimesTenLTStd-Italic"/>
                <w:iCs/>
                <w:sz w:val="20"/>
                <w:szCs w:val="20"/>
              </w:rPr>
            </w:pPr>
            <w:r w:rsidRPr="00510C97">
              <w:rPr>
                <w:rFonts w:ascii="TimesTenLTStd-Italic" w:hAnsi="TimesTenLTStd-Italic" w:cs="TimesTenLTStd-Italic"/>
                <w:iCs/>
                <w:sz w:val="20"/>
                <w:szCs w:val="20"/>
              </w:rPr>
              <w:t>First-person accounts of</w:t>
            </w:r>
            <w:r w:rsidR="00DB7295">
              <w:rPr>
                <w:rFonts w:ascii="TimesTenLTStd-Italic" w:hAnsi="TimesTenLTStd-Italic" w:cs="TimesTenLTStd-Italic"/>
                <w:iCs/>
                <w:sz w:val="20"/>
                <w:szCs w:val="20"/>
              </w:rPr>
              <w:t xml:space="preserve"> life in Mexican California are </w:t>
            </w:r>
            <w:r w:rsidRPr="00510C97">
              <w:rPr>
                <w:rFonts w:ascii="TimesTenLTStd-Italic" w:hAnsi="TimesTenLTStd-Italic" w:cs="TimesTenLTStd-Italic"/>
                <w:iCs/>
                <w:sz w:val="20"/>
                <w:szCs w:val="20"/>
              </w:rPr>
              <w:t>prized by scholars of th</w:t>
            </w:r>
            <w:r w:rsidR="00DB7295">
              <w:rPr>
                <w:rFonts w:ascii="TimesTenLTStd-Italic" w:hAnsi="TimesTenLTStd-Italic" w:cs="TimesTenLTStd-Italic"/>
                <w:iCs/>
                <w:sz w:val="20"/>
                <w:szCs w:val="20"/>
              </w:rPr>
              <w:t xml:space="preserve">is period. Richard Henry Dana’s </w:t>
            </w:r>
            <w:r w:rsidRPr="00510C97">
              <w:rPr>
                <w:rFonts w:ascii="TimesTenLTStd-Italic" w:hAnsi="TimesTenLTStd-Italic" w:cs="TimesTenLTStd-Italic"/>
                <w:iCs/>
                <w:sz w:val="20"/>
                <w:szCs w:val="20"/>
              </w:rPr>
              <w:t>well-known book, Two Years Before the Mast, contains</w:t>
            </w:r>
            <w:r w:rsidR="00DB7295">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many intriguing obse</w:t>
            </w:r>
            <w:r w:rsidR="00DB7295">
              <w:rPr>
                <w:rFonts w:ascii="TimesTenLTStd-Italic" w:hAnsi="TimesTenLTStd-Italic" w:cs="TimesTenLTStd-Italic"/>
                <w:iCs/>
                <w:sz w:val="20"/>
                <w:szCs w:val="20"/>
              </w:rPr>
              <w:t xml:space="preserve">rvations, but in its unabridged </w:t>
            </w:r>
            <w:r w:rsidRPr="00510C97">
              <w:rPr>
                <w:rFonts w:ascii="TimesTenLTStd-Italic" w:hAnsi="TimesTenLTStd-Italic" w:cs="TimesTenLTStd-Italic"/>
                <w:iCs/>
                <w:sz w:val="20"/>
                <w:szCs w:val="20"/>
              </w:rPr>
              <w:t>form can tend to overwh</w:t>
            </w:r>
            <w:r w:rsidR="00DB7295">
              <w:rPr>
                <w:rFonts w:ascii="TimesTenLTStd-Italic" w:hAnsi="TimesTenLTStd-Italic" w:cs="TimesTenLTStd-Italic"/>
                <w:iCs/>
                <w:sz w:val="20"/>
                <w:szCs w:val="20"/>
              </w:rPr>
              <w:t xml:space="preserve">elm the average reader. This is </w:t>
            </w:r>
            <w:r w:rsidRPr="00510C97">
              <w:rPr>
                <w:rFonts w:ascii="TimesTenLTStd-Italic" w:hAnsi="TimesTenLTStd-Italic" w:cs="TimesTenLTStd-Italic"/>
                <w:iCs/>
                <w:sz w:val="20"/>
                <w:szCs w:val="20"/>
              </w:rPr>
              <w:t>because Harvard st</w:t>
            </w:r>
            <w:r w:rsidR="00DB7295">
              <w:rPr>
                <w:rFonts w:ascii="TimesTenLTStd-Italic" w:hAnsi="TimesTenLTStd-Italic" w:cs="TimesTenLTStd-Italic"/>
                <w:iCs/>
                <w:sz w:val="20"/>
                <w:szCs w:val="20"/>
              </w:rPr>
              <w:t xml:space="preserve">udent-turned-common-sailor Dana </w:t>
            </w:r>
            <w:r w:rsidRPr="00510C97">
              <w:rPr>
                <w:rFonts w:ascii="TimesTenLTStd-Italic" w:hAnsi="TimesTenLTStd-Italic" w:cs="TimesTenLTStd-Italic"/>
                <w:iCs/>
                <w:sz w:val="20"/>
                <w:szCs w:val="20"/>
              </w:rPr>
              <w:t>was evidently so taken</w:t>
            </w:r>
            <w:r w:rsidR="00DB7295">
              <w:rPr>
                <w:rFonts w:ascii="TimesTenLTStd-Italic" w:hAnsi="TimesTenLTStd-Italic" w:cs="TimesTenLTStd-Italic"/>
                <w:iCs/>
                <w:sz w:val="20"/>
                <w:szCs w:val="20"/>
              </w:rPr>
              <w:t xml:space="preserve"> with his mastery of the arcane </w:t>
            </w:r>
            <w:r w:rsidRPr="00510C97">
              <w:rPr>
                <w:rFonts w:ascii="TimesTenLTStd-Italic" w:hAnsi="TimesTenLTStd-Italic" w:cs="TimesTenLTStd-Italic"/>
                <w:iCs/>
                <w:sz w:val="20"/>
                <w:szCs w:val="20"/>
              </w:rPr>
              <w:t xml:space="preserve">lore of sailing ships that he seems to want </w:t>
            </w:r>
            <w:r w:rsidR="00DB7295">
              <w:rPr>
                <w:rFonts w:ascii="TimesTenLTStd-Italic" w:hAnsi="TimesTenLTStd-Italic" w:cs="TimesTenLTStd-Italic"/>
                <w:iCs/>
                <w:sz w:val="20"/>
                <w:szCs w:val="20"/>
              </w:rPr>
              <w:t xml:space="preserve">to provide </w:t>
            </w:r>
            <w:r w:rsidRPr="00510C97">
              <w:rPr>
                <w:rFonts w:ascii="TimesTenLTStd-Italic" w:hAnsi="TimesTenLTStd-Italic" w:cs="TimesTenLTStd-Italic"/>
                <w:iCs/>
                <w:sz w:val="20"/>
                <w:szCs w:val="20"/>
              </w:rPr>
              <w:t>the reader with detai</w:t>
            </w:r>
            <w:r w:rsidR="00DB7295">
              <w:rPr>
                <w:rFonts w:ascii="TimesTenLTStd-Italic" w:hAnsi="TimesTenLTStd-Italic" w:cs="TimesTenLTStd-Italic"/>
                <w:iCs/>
                <w:sz w:val="20"/>
                <w:szCs w:val="20"/>
              </w:rPr>
              <w:t xml:space="preserve">ls on virtually every change of </w:t>
            </w:r>
            <w:r w:rsidRPr="00510C97">
              <w:rPr>
                <w:rFonts w:ascii="TimesTenLTStd-Italic" w:hAnsi="TimesTenLTStd-Italic" w:cs="TimesTenLTStd-Italic"/>
                <w:iCs/>
                <w:sz w:val="20"/>
                <w:szCs w:val="20"/>
              </w:rPr>
              <w:t>sail or activity aboard</w:t>
            </w:r>
            <w:r w:rsidR="00DB7295">
              <w:rPr>
                <w:rFonts w:ascii="TimesTenLTStd-Italic" w:hAnsi="TimesTenLTStd-Italic" w:cs="TimesTenLTStd-Italic"/>
                <w:iCs/>
                <w:sz w:val="20"/>
                <w:szCs w:val="20"/>
              </w:rPr>
              <w:t xml:space="preserve"> ship for the whole voyage, and </w:t>
            </w:r>
            <w:r w:rsidRPr="00510C97">
              <w:rPr>
                <w:rFonts w:ascii="TimesTenLTStd-Italic" w:hAnsi="TimesTenLTStd-Italic" w:cs="TimesTenLTStd-Italic"/>
                <w:iCs/>
                <w:sz w:val="20"/>
                <w:szCs w:val="20"/>
              </w:rPr>
              <w:t xml:space="preserve">this level of detail is </w:t>
            </w:r>
            <w:r w:rsidR="00DB7295">
              <w:rPr>
                <w:rFonts w:ascii="TimesTenLTStd-Italic" w:hAnsi="TimesTenLTStd-Italic" w:cs="TimesTenLTStd-Italic"/>
                <w:iCs/>
                <w:sz w:val="20"/>
                <w:szCs w:val="20"/>
              </w:rPr>
              <w:t xml:space="preserve">probably the reason many people </w:t>
            </w:r>
            <w:r w:rsidRPr="00510C97">
              <w:rPr>
                <w:rFonts w:ascii="TimesTenLTStd-Italic" w:hAnsi="TimesTenLTStd-Italic" w:cs="TimesTenLTStd-Italic"/>
                <w:iCs/>
                <w:sz w:val="20"/>
                <w:szCs w:val="20"/>
              </w:rPr>
              <w:t>are put off by what is r</w:t>
            </w:r>
            <w:r w:rsidR="00DB7295">
              <w:rPr>
                <w:rFonts w:ascii="TimesTenLTStd-Italic" w:hAnsi="TimesTenLTStd-Italic" w:cs="TimesTenLTStd-Italic"/>
                <w:iCs/>
                <w:sz w:val="20"/>
                <w:szCs w:val="20"/>
              </w:rPr>
              <w:t xml:space="preserve">eally a very good read. In this </w:t>
            </w:r>
            <w:r w:rsidRPr="00510C97">
              <w:rPr>
                <w:rFonts w:ascii="TimesTenLTStd-Italic" w:hAnsi="TimesTenLTStd-Italic" w:cs="TimesTenLTStd-Italic"/>
                <w:iCs/>
                <w:sz w:val="20"/>
                <w:szCs w:val="20"/>
              </w:rPr>
              <w:t>version, John Farnsworth has eliminated much of the</w:t>
            </w:r>
            <w:r w:rsidR="00DB7295">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nautical language and focused on Dana’s interactions</w:t>
            </w:r>
            <w:r w:rsidR="00DB7295">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 xml:space="preserve">and observations </w:t>
            </w:r>
            <w:r w:rsidRPr="00510C97">
              <w:rPr>
                <w:rFonts w:ascii="TimesTenLTStd-Italic" w:hAnsi="TimesTenLTStd-Italic" w:cs="TimesTenLTStd-Italic"/>
                <w:iCs/>
                <w:sz w:val="20"/>
                <w:szCs w:val="20"/>
              </w:rPr>
              <w:lastRenderedPageBreak/>
              <w:t>during h</w:t>
            </w:r>
            <w:r w:rsidR="00DB7295">
              <w:rPr>
                <w:rFonts w:ascii="TimesTenLTStd-Italic" w:hAnsi="TimesTenLTStd-Italic" w:cs="TimesTenLTStd-Italic"/>
                <w:iCs/>
                <w:sz w:val="20"/>
                <w:szCs w:val="20"/>
              </w:rPr>
              <w:t xml:space="preserve">is visits ashore. The reader is </w:t>
            </w:r>
            <w:r w:rsidRPr="00510C97">
              <w:rPr>
                <w:rFonts w:ascii="TimesTenLTStd-Italic" w:hAnsi="TimesTenLTStd-Italic" w:cs="TimesTenLTStd-Italic"/>
                <w:iCs/>
                <w:sz w:val="20"/>
                <w:szCs w:val="20"/>
              </w:rPr>
              <w:t>thus able to more clear</w:t>
            </w:r>
            <w:r w:rsidR="00DB7295">
              <w:rPr>
                <w:rFonts w:ascii="TimesTenLTStd-Italic" w:hAnsi="TimesTenLTStd-Italic" w:cs="TimesTenLTStd-Italic"/>
                <w:iCs/>
                <w:sz w:val="20"/>
                <w:szCs w:val="20"/>
              </w:rPr>
              <w:t xml:space="preserve">ly visualize Mexican California </w:t>
            </w:r>
            <w:r w:rsidRPr="00510C97">
              <w:rPr>
                <w:rFonts w:ascii="TimesTenLTStd-Italic" w:hAnsi="TimesTenLTStd-Italic" w:cs="TimesTenLTStd-Italic"/>
                <w:iCs/>
                <w:sz w:val="20"/>
                <w:szCs w:val="20"/>
              </w:rPr>
              <w:t xml:space="preserve">in the days immediately </w:t>
            </w:r>
            <w:r w:rsidR="00DB7295">
              <w:rPr>
                <w:rFonts w:ascii="TimesTenLTStd-Italic" w:hAnsi="TimesTenLTStd-Italic" w:cs="TimesTenLTStd-Italic"/>
                <w:iCs/>
                <w:sz w:val="20"/>
                <w:szCs w:val="20"/>
              </w:rPr>
              <w:t xml:space="preserve">following the secularization of </w:t>
            </w:r>
            <w:r w:rsidRPr="00510C97">
              <w:rPr>
                <w:rFonts w:ascii="TimesTenLTStd-Italic" w:hAnsi="TimesTenLTStd-Italic" w:cs="TimesTenLTStd-Italic"/>
                <w:iCs/>
                <w:sz w:val="20"/>
                <w:szCs w:val="20"/>
              </w:rPr>
              <w:t>the California mission</w:t>
            </w:r>
            <w:r w:rsidR="00DB7295">
              <w:rPr>
                <w:rFonts w:ascii="TimesTenLTStd-Italic" w:hAnsi="TimesTenLTStd-Italic" w:cs="TimesTenLTStd-Italic"/>
                <w:iCs/>
                <w:sz w:val="20"/>
                <w:szCs w:val="20"/>
              </w:rPr>
              <w:t xml:space="preserve">s, a time when the ranchos were </w:t>
            </w:r>
            <w:r w:rsidRPr="00510C97">
              <w:rPr>
                <w:rFonts w:ascii="TimesTenLTStd-Italic" w:hAnsi="TimesTenLTStd-Italic" w:cs="TimesTenLTStd-Italic"/>
                <w:iCs/>
                <w:sz w:val="20"/>
                <w:szCs w:val="20"/>
              </w:rPr>
              <w:t xml:space="preserve">really starting to get into </w:t>
            </w:r>
            <w:r w:rsidR="00DB7295">
              <w:rPr>
                <w:rFonts w:ascii="TimesTenLTStd-Italic" w:hAnsi="TimesTenLTStd-Italic" w:cs="TimesTenLTStd-Italic"/>
                <w:iCs/>
                <w:sz w:val="20"/>
                <w:szCs w:val="20"/>
              </w:rPr>
              <w:t xml:space="preserve">full swing. As a common sailor, </w:t>
            </w:r>
            <w:r w:rsidRPr="00510C97">
              <w:rPr>
                <w:rFonts w:ascii="TimesTenLTStd-Italic" w:hAnsi="TimesTenLTStd-Italic" w:cs="TimesTenLTStd-Italic"/>
                <w:iCs/>
                <w:sz w:val="20"/>
                <w:szCs w:val="20"/>
              </w:rPr>
              <w:t>Dana was not able t</w:t>
            </w:r>
            <w:r w:rsidR="00DB7295">
              <w:rPr>
                <w:rFonts w:ascii="TimesTenLTStd-Italic" w:hAnsi="TimesTenLTStd-Italic" w:cs="TimesTenLTStd-Italic"/>
                <w:iCs/>
                <w:sz w:val="20"/>
                <w:szCs w:val="20"/>
              </w:rPr>
              <w:t xml:space="preserve">o venture much further into the </w:t>
            </w:r>
            <w:r w:rsidRPr="00510C97">
              <w:rPr>
                <w:rFonts w:ascii="TimesTenLTStd-Italic" w:hAnsi="TimesTenLTStd-Italic" w:cs="TimesTenLTStd-Italic"/>
                <w:iCs/>
                <w:sz w:val="20"/>
                <w:szCs w:val="20"/>
              </w:rPr>
              <w:t xml:space="preserve">country than the ports </w:t>
            </w:r>
            <w:r w:rsidR="00DB7295">
              <w:rPr>
                <w:rFonts w:ascii="TimesTenLTStd-Italic" w:hAnsi="TimesTenLTStd-Italic" w:cs="TimesTenLTStd-Italic"/>
                <w:iCs/>
                <w:sz w:val="20"/>
                <w:szCs w:val="20"/>
              </w:rPr>
              <w:t xml:space="preserve">that he visited, which included San Francisco, Monterey, </w:t>
            </w:r>
            <w:r w:rsidRPr="00510C97">
              <w:rPr>
                <w:rFonts w:ascii="TimesTenLTStd-Italic" w:hAnsi="TimesTenLTStd-Italic" w:cs="TimesTenLTStd-Italic"/>
                <w:iCs/>
                <w:sz w:val="20"/>
                <w:szCs w:val="20"/>
              </w:rPr>
              <w:t xml:space="preserve">Santa Barbara, San </w:t>
            </w:r>
            <w:r w:rsidR="00DB7295">
              <w:rPr>
                <w:rFonts w:ascii="TimesTenLTStd-Italic" w:hAnsi="TimesTenLTStd-Italic" w:cs="TimesTenLTStd-Italic"/>
                <w:iCs/>
                <w:sz w:val="20"/>
                <w:szCs w:val="20"/>
              </w:rPr>
              <w:t xml:space="preserve">Pedro, </w:t>
            </w:r>
            <w:r w:rsidRPr="00510C97">
              <w:rPr>
                <w:rFonts w:ascii="TimesTenLTStd-Italic" w:hAnsi="TimesTenLTStd-Italic" w:cs="TimesTenLTStd-Italic"/>
                <w:iCs/>
                <w:sz w:val="20"/>
                <w:szCs w:val="20"/>
              </w:rPr>
              <w:t>and San Diego. His relat</w:t>
            </w:r>
            <w:r w:rsidR="00DB7295">
              <w:rPr>
                <w:rFonts w:ascii="TimesTenLTStd-Italic" w:hAnsi="TimesTenLTStd-Italic" w:cs="TimesTenLTStd-Italic"/>
                <w:iCs/>
                <w:sz w:val="20"/>
                <w:szCs w:val="20"/>
              </w:rPr>
              <w:t xml:space="preserve">ively low station also resulted </w:t>
            </w:r>
            <w:r w:rsidRPr="00510C97">
              <w:rPr>
                <w:rFonts w:ascii="TimesTenLTStd-Italic" w:hAnsi="TimesTenLTStd-Italic" w:cs="TimesTenLTStd-Italic"/>
                <w:iCs/>
                <w:sz w:val="20"/>
                <w:szCs w:val="20"/>
              </w:rPr>
              <w:t>in his not being invited t</w:t>
            </w:r>
            <w:r w:rsidR="00DB7295">
              <w:rPr>
                <w:rFonts w:ascii="TimesTenLTStd-Italic" w:hAnsi="TimesTenLTStd-Italic" w:cs="TimesTenLTStd-Italic"/>
                <w:iCs/>
                <w:sz w:val="20"/>
                <w:szCs w:val="20"/>
              </w:rPr>
              <w:t xml:space="preserve">o the homes of the higher class </w:t>
            </w:r>
            <w:r w:rsidRPr="00510C97">
              <w:rPr>
                <w:rFonts w:ascii="TimesTenLTStd-Italic" w:hAnsi="TimesTenLTStd-Italic" w:cs="TimesTenLTStd-Italic"/>
                <w:iCs/>
                <w:sz w:val="20"/>
                <w:szCs w:val="20"/>
              </w:rPr>
              <w:t>Californians, even those o</w:t>
            </w:r>
            <w:r w:rsidR="00DB7295">
              <w:rPr>
                <w:rFonts w:ascii="TimesTenLTStd-Italic" w:hAnsi="TimesTenLTStd-Italic" w:cs="TimesTenLTStd-Italic"/>
                <w:iCs/>
                <w:sz w:val="20"/>
                <w:szCs w:val="20"/>
              </w:rPr>
              <w:t xml:space="preserve">f the foreigners. This may have </w:t>
            </w:r>
            <w:r w:rsidRPr="00510C97">
              <w:rPr>
                <w:rFonts w:ascii="TimesTenLTStd-Italic" w:hAnsi="TimesTenLTStd-Italic" w:cs="TimesTenLTStd-Italic"/>
                <w:iCs/>
                <w:sz w:val="20"/>
                <w:szCs w:val="20"/>
              </w:rPr>
              <w:t>flavored his relatively neg</w:t>
            </w:r>
            <w:r w:rsidR="00DB7295">
              <w:rPr>
                <w:rFonts w:ascii="TimesTenLTStd-Italic" w:hAnsi="TimesTenLTStd-Italic" w:cs="TimesTenLTStd-Italic"/>
                <w:iCs/>
                <w:sz w:val="20"/>
                <w:szCs w:val="20"/>
              </w:rPr>
              <w:t xml:space="preserve">ative view of the people of the </w:t>
            </w:r>
            <w:r w:rsidRPr="00510C97">
              <w:rPr>
                <w:rFonts w:ascii="TimesTenLTStd-Italic" w:hAnsi="TimesTenLTStd-Italic" w:cs="TimesTenLTStd-Italic"/>
                <w:iCs/>
                <w:sz w:val="20"/>
                <w:szCs w:val="20"/>
              </w:rPr>
              <w:t>country, who he considered indolent.</w:t>
            </w:r>
          </w:p>
        </w:tc>
      </w:tr>
      <w:tr w:rsidR="00DB7295" w:rsidTr="00A36DF2">
        <w:trPr>
          <w:trHeight w:val="1205"/>
        </w:trPr>
        <w:tc>
          <w:tcPr>
            <w:tcW w:w="6636" w:type="dxa"/>
          </w:tcPr>
          <w:p w:rsidR="00DB7295" w:rsidRPr="00DB7295" w:rsidRDefault="00DB7295" w:rsidP="00DB7295">
            <w:pPr>
              <w:autoSpaceDE w:val="0"/>
              <w:autoSpaceDN w:val="0"/>
              <w:adjustRightInd w:val="0"/>
              <w:rPr>
                <w:rFonts w:ascii="TimesTenLTStd-Bold" w:hAnsi="TimesTenLTStd-Bold" w:cs="TimesTenLTStd-Bold"/>
                <w:b/>
                <w:bCs/>
                <w:iCs/>
                <w:sz w:val="44"/>
                <w:szCs w:val="44"/>
              </w:rPr>
            </w:pPr>
            <w:r w:rsidRPr="00DB7295">
              <w:rPr>
                <w:rFonts w:ascii="TimesTenLTStd-Bold" w:hAnsi="TimesTenLTStd-Bold" w:cs="TimesTenLTStd-Bold"/>
                <w:b/>
                <w:bCs/>
                <w:iCs/>
                <w:sz w:val="44"/>
                <w:szCs w:val="44"/>
              </w:rPr>
              <w:lastRenderedPageBreak/>
              <w:t>The Archaeology of the Eastern</w:t>
            </w:r>
          </w:p>
          <w:p w:rsidR="00DB7295" w:rsidRPr="00DB7295" w:rsidRDefault="00DB7295" w:rsidP="00DB7295">
            <w:pPr>
              <w:autoSpaceDE w:val="0"/>
              <w:autoSpaceDN w:val="0"/>
              <w:adjustRightInd w:val="0"/>
              <w:rPr>
                <w:rFonts w:ascii="TimesTenLTStd-Bold" w:hAnsi="TimesTenLTStd-Bold" w:cs="TimesTenLTStd-Bold"/>
                <w:b/>
                <w:bCs/>
                <w:iCs/>
                <w:sz w:val="44"/>
                <w:szCs w:val="44"/>
              </w:rPr>
            </w:pPr>
            <w:r w:rsidRPr="00DB7295">
              <w:rPr>
                <w:rFonts w:ascii="TimesTenLTStd-Bold" w:hAnsi="TimesTenLTStd-Bold" w:cs="TimesTenLTStd-Bold"/>
                <w:b/>
                <w:bCs/>
                <w:iCs/>
                <w:sz w:val="44"/>
                <w:szCs w:val="44"/>
              </w:rPr>
              <w:t xml:space="preserve">Nevada </w:t>
            </w:r>
            <w:proofErr w:type="spellStart"/>
            <w:r w:rsidRPr="00DB7295">
              <w:rPr>
                <w:rFonts w:ascii="TimesTenLTStd-Bold" w:hAnsi="TimesTenLTStd-Bold" w:cs="TimesTenLTStd-Bold"/>
                <w:b/>
                <w:bCs/>
                <w:iCs/>
                <w:sz w:val="44"/>
                <w:szCs w:val="44"/>
              </w:rPr>
              <w:t>Paleoarchaic</w:t>
            </w:r>
            <w:proofErr w:type="spellEnd"/>
            <w:r w:rsidRPr="00DB7295">
              <w:rPr>
                <w:rFonts w:ascii="TimesTenLTStd-Bold" w:hAnsi="TimesTenLTStd-Bold" w:cs="TimesTenLTStd-Bold"/>
                <w:b/>
                <w:bCs/>
                <w:iCs/>
                <w:sz w:val="44"/>
                <w:szCs w:val="44"/>
              </w:rPr>
              <w:t>, Part I:</w:t>
            </w:r>
          </w:p>
          <w:p w:rsidR="00DB7295" w:rsidRPr="00510C97" w:rsidRDefault="00DB7295" w:rsidP="00DB7295">
            <w:pPr>
              <w:autoSpaceDE w:val="0"/>
              <w:autoSpaceDN w:val="0"/>
              <w:adjustRightInd w:val="0"/>
              <w:rPr>
                <w:rFonts w:ascii="TimesTenLTStd-Bold" w:hAnsi="TimesTenLTStd-Bold" w:cs="TimesTenLTStd-Bold"/>
                <w:b/>
                <w:bCs/>
                <w:iCs/>
                <w:sz w:val="44"/>
                <w:szCs w:val="44"/>
              </w:rPr>
            </w:pPr>
            <w:r w:rsidRPr="00DB7295">
              <w:rPr>
                <w:rFonts w:ascii="TimesTenLTStd-Bold" w:hAnsi="TimesTenLTStd-Bold" w:cs="TimesTenLTStd-Bold"/>
                <w:b/>
                <w:bCs/>
                <w:iCs/>
                <w:sz w:val="44"/>
                <w:szCs w:val="44"/>
              </w:rPr>
              <w:t>The Sunshine Locality</w:t>
            </w:r>
          </w:p>
        </w:tc>
        <w:tc>
          <w:tcPr>
            <w:tcW w:w="6636" w:type="dxa"/>
          </w:tcPr>
          <w:p w:rsidR="00DB7295" w:rsidRPr="00510C97" w:rsidRDefault="00DB7295" w:rsidP="00DB7295">
            <w:pPr>
              <w:autoSpaceDE w:val="0"/>
              <w:autoSpaceDN w:val="0"/>
              <w:adjustRightInd w:val="0"/>
              <w:rPr>
                <w:rFonts w:ascii="TimesTenLTStd-Italic" w:hAnsi="TimesTenLTStd-Italic" w:cs="TimesTenLTStd-Italic"/>
                <w:iCs/>
                <w:sz w:val="20"/>
                <w:szCs w:val="20"/>
              </w:rPr>
            </w:pPr>
            <w:r w:rsidRPr="00DB7295">
              <w:rPr>
                <w:rFonts w:ascii="TimesTenLTStd-Italic" w:hAnsi="TimesTenLTStd-Italic" w:cs="TimesTenLTStd-Italic"/>
                <w:iCs/>
                <w:sz w:val="20"/>
                <w:szCs w:val="20"/>
              </w:rPr>
              <w:t>It is clear from even a qu</w:t>
            </w:r>
            <w:r>
              <w:rPr>
                <w:rFonts w:ascii="TimesTenLTStd-Italic" w:hAnsi="TimesTenLTStd-Italic" w:cs="TimesTenLTStd-Italic"/>
                <w:iCs/>
                <w:sz w:val="20"/>
                <w:szCs w:val="20"/>
              </w:rPr>
              <w:t xml:space="preserve">ick glance at Charlotte Beck </w:t>
            </w:r>
            <w:r w:rsidRPr="00DB7295">
              <w:rPr>
                <w:rFonts w:ascii="TimesTenLTStd-Italic" w:hAnsi="TimesTenLTStd-Italic" w:cs="TimesTenLTStd-Italic"/>
                <w:iCs/>
                <w:sz w:val="20"/>
                <w:szCs w:val="20"/>
              </w:rPr>
              <w:t xml:space="preserve">and George Jones’ </w:t>
            </w:r>
            <w:r>
              <w:rPr>
                <w:rFonts w:ascii="TimesTenLTStd-Italic" w:hAnsi="TimesTenLTStd-Italic" w:cs="TimesTenLTStd-Italic"/>
                <w:iCs/>
                <w:sz w:val="20"/>
                <w:szCs w:val="20"/>
              </w:rPr>
              <w:t xml:space="preserve">new monograph that the Sunshine </w:t>
            </w:r>
            <w:r w:rsidRPr="00DB7295">
              <w:rPr>
                <w:rFonts w:ascii="TimesTenLTStd-Italic" w:hAnsi="TimesTenLTStd-Italic" w:cs="TimesTenLTStd-Italic"/>
                <w:iCs/>
                <w:sz w:val="20"/>
                <w:szCs w:val="20"/>
              </w:rPr>
              <w:t>Locality is a prem</w:t>
            </w:r>
            <w:r>
              <w:rPr>
                <w:rFonts w:ascii="TimesTenLTStd-Italic" w:hAnsi="TimesTenLTStd-Italic" w:cs="TimesTenLTStd-Italic"/>
                <w:iCs/>
                <w:sz w:val="20"/>
                <w:szCs w:val="20"/>
              </w:rPr>
              <w:t xml:space="preserve">ier </w:t>
            </w:r>
            <w:proofErr w:type="spellStart"/>
            <w:r>
              <w:rPr>
                <w:rFonts w:ascii="TimesTenLTStd-Italic" w:hAnsi="TimesTenLTStd-Italic" w:cs="TimesTenLTStd-Italic"/>
                <w:iCs/>
                <w:sz w:val="20"/>
                <w:szCs w:val="20"/>
              </w:rPr>
              <w:t>Paleoarchaic</w:t>
            </w:r>
            <w:proofErr w:type="spellEnd"/>
            <w:r>
              <w:rPr>
                <w:rFonts w:ascii="TimesTenLTStd-Italic" w:hAnsi="TimesTenLTStd-Italic" w:cs="TimesTenLTStd-Italic"/>
                <w:iCs/>
                <w:sz w:val="20"/>
                <w:szCs w:val="20"/>
              </w:rPr>
              <w:t xml:space="preserve"> archaeological </w:t>
            </w:r>
            <w:r w:rsidRPr="00DB7295">
              <w:rPr>
                <w:rFonts w:ascii="TimesTenLTStd-Italic" w:hAnsi="TimesTenLTStd-Italic" w:cs="TimesTenLTStd-Italic"/>
                <w:iCs/>
                <w:sz w:val="20"/>
                <w:szCs w:val="20"/>
              </w:rPr>
              <w:t>resource. Upon a thorough r</w:t>
            </w:r>
            <w:r>
              <w:rPr>
                <w:rFonts w:ascii="TimesTenLTStd-Italic" w:hAnsi="TimesTenLTStd-Italic" w:cs="TimesTenLTStd-Italic"/>
                <w:iCs/>
                <w:sz w:val="20"/>
                <w:szCs w:val="20"/>
              </w:rPr>
              <w:t xml:space="preserve">eading, the details assert this </w:t>
            </w:r>
            <w:r w:rsidRPr="00DB7295">
              <w:rPr>
                <w:rFonts w:ascii="TimesTenLTStd-Italic" w:hAnsi="TimesTenLTStd-Italic" w:cs="TimesTenLTStd-Italic"/>
                <w:iCs/>
                <w:sz w:val="20"/>
                <w:szCs w:val="20"/>
              </w:rPr>
              <w:t>at every step via the larg</w:t>
            </w:r>
            <w:r>
              <w:rPr>
                <w:rFonts w:ascii="TimesTenLTStd-Italic" w:hAnsi="TimesTenLTStd-Italic" w:cs="TimesTenLTStd-Italic"/>
                <w:iCs/>
                <w:sz w:val="20"/>
                <w:szCs w:val="20"/>
              </w:rPr>
              <w:t xml:space="preserve">e amount of data collected, the </w:t>
            </w:r>
            <w:r w:rsidRPr="00DB7295">
              <w:rPr>
                <w:rFonts w:ascii="TimesTenLTStd-Italic" w:hAnsi="TimesTenLTStd-Italic" w:cs="TimesTenLTStd-Italic"/>
                <w:iCs/>
                <w:sz w:val="20"/>
                <w:szCs w:val="20"/>
              </w:rPr>
              <w:t>effort taken to collect it,</w:t>
            </w:r>
            <w:r>
              <w:rPr>
                <w:rFonts w:ascii="TimesTenLTStd-Italic" w:hAnsi="TimesTenLTStd-Italic" w:cs="TimesTenLTStd-Italic"/>
                <w:iCs/>
                <w:sz w:val="20"/>
                <w:szCs w:val="20"/>
              </w:rPr>
              <w:t xml:space="preserve"> and extensive geomorphological </w:t>
            </w:r>
            <w:r w:rsidRPr="00DB7295">
              <w:rPr>
                <w:rFonts w:ascii="TimesTenLTStd-Italic" w:hAnsi="TimesTenLTStd-Italic" w:cs="TimesTenLTStd-Italic"/>
                <w:iCs/>
                <w:sz w:val="20"/>
                <w:szCs w:val="20"/>
              </w:rPr>
              <w:t xml:space="preserve">and technological analyses. </w:t>
            </w:r>
            <w:r>
              <w:rPr>
                <w:rFonts w:ascii="TimesTenLTStd-Italic" w:hAnsi="TimesTenLTStd-Italic" w:cs="TimesTenLTStd-Italic"/>
                <w:iCs/>
                <w:sz w:val="20"/>
                <w:szCs w:val="20"/>
              </w:rPr>
              <w:t xml:space="preserve">The book is crucial to the desk </w:t>
            </w:r>
            <w:r w:rsidRPr="00DB7295">
              <w:rPr>
                <w:rFonts w:ascii="TimesTenLTStd-Italic" w:hAnsi="TimesTenLTStd-Italic" w:cs="TimesTenLTStd-Italic"/>
                <w:iCs/>
                <w:sz w:val="20"/>
                <w:szCs w:val="20"/>
              </w:rPr>
              <w:t xml:space="preserve">of anyone interested in </w:t>
            </w:r>
            <w:proofErr w:type="spellStart"/>
            <w:r w:rsidRPr="00DB7295">
              <w:rPr>
                <w:rFonts w:ascii="TimesTenLTStd-Italic" w:hAnsi="TimesTenLTStd-Italic" w:cs="TimesTenLTStd-Italic"/>
                <w:iCs/>
                <w:sz w:val="20"/>
                <w:szCs w:val="20"/>
              </w:rPr>
              <w:t>Pal</w:t>
            </w:r>
            <w:r>
              <w:rPr>
                <w:rFonts w:ascii="TimesTenLTStd-Italic" w:hAnsi="TimesTenLTStd-Italic" w:cs="TimesTenLTStd-Italic"/>
                <w:iCs/>
                <w:sz w:val="20"/>
                <w:szCs w:val="20"/>
              </w:rPr>
              <w:t>eoarchaic</w:t>
            </w:r>
            <w:proofErr w:type="spellEnd"/>
            <w:r>
              <w:rPr>
                <w:rFonts w:ascii="TimesTenLTStd-Italic" w:hAnsi="TimesTenLTStd-Italic" w:cs="TimesTenLTStd-Italic"/>
                <w:iCs/>
                <w:sz w:val="20"/>
                <w:szCs w:val="20"/>
              </w:rPr>
              <w:t xml:space="preserve"> (or “</w:t>
            </w:r>
            <w:proofErr w:type="spellStart"/>
            <w:r>
              <w:rPr>
                <w:rFonts w:ascii="TimesTenLTStd-Italic" w:hAnsi="TimesTenLTStd-Italic" w:cs="TimesTenLTStd-Italic"/>
                <w:iCs/>
                <w:sz w:val="20"/>
                <w:szCs w:val="20"/>
              </w:rPr>
              <w:t>Paleoindian</w:t>
            </w:r>
            <w:proofErr w:type="spellEnd"/>
            <w:r>
              <w:rPr>
                <w:rFonts w:ascii="TimesTenLTStd-Italic" w:hAnsi="TimesTenLTStd-Italic" w:cs="TimesTenLTStd-Italic"/>
                <w:iCs/>
                <w:sz w:val="20"/>
                <w:szCs w:val="20"/>
              </w:rPr>
              <w:t xml:space="preserve">,” if </w:t>
            </w:r>
            <w:r w:rsidRPr="00DB7295">
              <w:rPr>
                <w:rFonts w:ascii="TimesTenLTStd-Italic" w:hAnsi="TimesTenLTStd-Italic" w:cs="TimesTenLTStd-Italic"/>
                <w:iCs/>
                <w:sz w:val="20"/>
                <w:szCs w:val="20"/>
              </w:rPr>
              <w:t>you choose) occupations in the Desert West.</w:t>
            </w:r>
          </w:p>
        </w:tc>
      </w:tr>
      <w:tr w:rsidR="00DB7295" w:rsidTr="00A36DF2">
        <w:trPr>
          <w:trHeight w:val="1205"/>
        </w:trPr>
        <w:tc>
          <w:tcPr>
            <w:tcW w:w="6636" w:type="dxa"/>
          </w:tcPr>
          <w:p w:rsidR="00DB7295" w:rsidRPr="00DB7295" w:rsidRDefault="00DB7295" w:rsidP="00DB7295">
            <w:pPr>
              <w:autoSpaceDE w:val="0"/>
              <w:autoSpaceDN w:val="0"/>
              <w:adjustRightInd w:val="0"/>
              <w:rPr>
                <w:rFonts w:ascii="TimesTenLTStd-Bold" w:hAnsi="TimesTenLTStd-Bold" w:cs="TimesTenLTStd-Bold"/>
                <w:b/>
                <w:bCs/>
                <w:iCs/>
                <w:sz w:val="44"/>
                <w:szCs w:val="44"/>
              </w:rPr>
            </w:pPr>
            <w:r w:rsidRPr="00DB7295">
              <w:rPr>
                <w:rFonts w:ascii="TimesTenLTStd-Bold" w:hAnsi="TimesTenLTStd-Bold" w:cs="TimesTenLTStd-Bold"/>
                <w:b/>
                <w:bCs/>
                <w:iCs/>
                <w:sz w:val="44"/>
                <w:szCs w:val="44"/>
              </w:rPr>
              <w:t>Pestilence and Persistence:</w:t>
            </w:r>
          </w:p>
          <w:p w:rsidR="00DB7295" w:rsidRPr="00DB7295" w:rsidRDefault="00DB7295" w:rsidP="00DB7295">
            <w:pPr>
              <w:autoSpaceDE w:val="0"/>
              <w:autoSpaceDN w:val="0"/>
              <w:adjustRightInd w:val="0"/>
              <w:rPr>
                <w:rFonts w:ascii="TimesTenLTStd-Bold" w:hAnsi="TimesTenLTStd-Bold" w:cs="TimesTenLTStd-Bold"/>
                <w:b/>
                <w:bCs/>
                <w:iCs/>
                <w:sz w:val="44"/>
                <w:szCs w:val="44"/>
              </w:rPr>
            </w:pPr>
            <w:r w:rsidRPr="00DB7295">
              <w:rPr>
                <w:rFonts w:ascii="TimesTenLTStd-Bold" w:hAnsi="TimesTenLTStd-Bold" w:cs="TimesTenLTStd-Bold"/>
                <w:b/>
                <w:bCs/>
                <w:iCs/>
                <w:sz w:val="44"/>
                <w:szCs w:val="44"/>
              </w:rPr>
              <w:t>Yosemite Indian Demography</w:t>
            </w:r>
          </w:p>
          <w:p w:rsidR="00DB7295" w:rsidRPr="00DB7295" w:rsidRDefault="00DB7295" w:rsidP="00DB7295">
            <w:pPr>
              <w:autoSpaceDE w:val="0"/>
              <w:autoSpaceDN w:val="0"/>
              <w:adjustRightInd w:val="0"/>
              <w:rPr>
                <w:rFonts w:ascii="TimesTenLTStd-Bold" w:hAnsi="TimesTenLTStd-Bold" w:cs="TimesTenLTStd-Bold"/>
                <w:b/>
                <w:bCs/>
                <w:iCs/>
                <w:sz w:val="44"/>
                <w:szCs w:val="44"/>
              </w:rPr>
            </w:pPr>
            <w:r w:rsidRPr="00DB7295">
              <w:rPr>
                <w:rFonts w:ascii="TimesTenLTStd-Bold" w:hAnsi="TimesTenLTStd-Bold" w:cs="TimesTenLTStd-Bold"/>
                <w:b/>
                <w:bCs/>
                <w:iCs/>
                <w:sz w:val="44"/>
                <w:szCs w:val="44"/>
              </w:rPr>
              <w:t>and Culture in Colonial</w:t>
            </w:r>
          </w:p>
          <w:p w:rsidR="00DB7295" w:rsidRPr="00DB7295" w:rsidRDefault="00DB7295" w:rsidP="00DB7295">
            <w:pPr>
              <w:autoSpaceDE w:val="0"/>
              <w:autoSpaceDN w:val="0"/>
              <w:adjustRightInd w:val="0"/>
              <w:rPr>
                <w:rFonts w:ascii="TimesTenLTStd-Bold" w:hAnsi="TimesTenLTStd-Bold" w:cs="TimesTenLTStd-Bold"/>
                <w:b/>
                <w:bCs/>
                <w:iCs/>
                <w:sz w:val="44"/>
                <w:szCs w:val="44"/>
              </w:rPr>
            </w:pPr>
            <w:r w:rsidRPr="00DB7295">
              <w:rPr>
                <w:rFonts w:ascii="TimesTenLTStd-Bold" w:hAnsi="TimesTenLTStd-Bold" w:cs="TimesTenLTStd-Bold"/>
                <w:b/>
                <w:bCs/>
                <w:iCs/>
                <w:sz w:val="44"/>
                <w:szCs w:val="44"/>
              </w:rPr>
              <w:t>California</w:t>
            </w:r>
          </w:p>
        </w:tc>
        <w:tc>
          <w:tcPr>
            <w:tcW w:w="6636" w:type="dxa"/>
          </w:tcPr>
          <w:p w:rsidR="00DB7295" w:rsidRPr="00DB7295" w:rsidRDefault="00DB7295" w:rsidP="00DB7295">
            <w:pPr>
              <w:autoSpaceDE w:val="0"/>
              <w:autoSpaceDN w:val="0"/>
              <w:adjustRightInd w:val="0"/>
              <w:rPr>
                <w:rFonts w:ascii="TimesTenLTStd-Italic" w:hAnsi="TimesTenLTStd-Italic" w:cs="TimesTenLTStd-Italic"/>
                <w:iCs/>
                <w:sz w:val="20"/>
                <w:szCs w:val="20"/>
              </w:rPr>
            </w:pPr>
            <w:r w:rsidRPr="00DB7295">
              <w:rPr>
                <w:rFonts w:ascii="TimesTenLTStd-Italic" w:hAnsi="TimesTenLTStd-Italic" w:cs="TimesTenLTStd-Italic"/>
                <w:iCs/>
                <w:sz w:val="20"/>
                <w:szCs w:val="20"/>
              </w:rPr>
              <w:t>In recent years, research into indigenous and colonial</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engagements in California has matured, with a series</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of major monographs focusing on different historical</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periods and themes and influencing researchers not only</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in California, but those working in many other parts of</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 xml:space="preserve">the globe. Scholars such as </w:t>
            </w:r>
            <w:proofErr w:type="spellStart"/>
            <w:r w:rsidRPr="00DB7295">
              <w:rPr>
                <w:rFonts w:ascii="TimesTenLTStd-Italic" w:hAnsi="TimesTenLTStd-Italic" w:cs="TimesTenLTStd-Italic"/>
                <w:iCs/>
                <w:sz w:val="20"/>
                <w:szCs w:val="20"/>
              </w:rPr>
              <w:t>Hackel</w:t>
            </w:r>
            <w:proofErr w:type="spellEnd"/>
            <w:r w:rsidRPr="00DB7295">
              <w:rPr>
                <w:rFonts w:ascii="TimesTenLTStd-Italic" w:hAnsi="TimesTenLTStd-Italic" w:cs="TimesTenLTStd-Italic"/>
                <w:iCs/>
                <w:sz w:val="20"/>
                <w:szCs w:val="20"/>
              </w:rPr>
              <w:t>, Lightfoot, Milliken,</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Silliman, Voss and others have produced excellent case</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studies covering a variety of perspectives, including the</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effect of colonial institutions, indigenous agency, indigenous</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 xml:space="preserve">labor, and the process of </w:t>
            </w:r>
            <w:proofErr w:type="spellStart"/>
            <w:r w:rsidRPr="00DB7295">
              <w:rPr>
                <w:rFonts w:ascii="TimesTenLTStd-Italic" w:hAnsi="TimesTenLTStd-Italic" w:cs="TimesTenLTStd-Italic"/>
                <w:iCs/>
                <w:sz w:val="20"/>
                <w:szCs w:val="20"/>
              </w:rPr>
              <w:t>ethnogenesis</w:t>
            </w:r>
            <w:proofErr w:type="spellEnd"/>
            <w:r w:rsidRPr="00DB7295">
              <w:rPr>
                <w:rFonts w:ascii="TimesTenLTStd-Italic" w:hAnsi="TimesTenLTStd-Italic" w:cs="TimesTenLTStd-Italic"/>
                <w:iCs/>
                <w:sz w:val="20"/>
                <w:szCs w:val="20"/>
              </w:rPr>
              <w:t>. These books have</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elevated the anthropology and archaeology of colonial</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California to the forefront of such studies worldwide,</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largely by delving in data-rich coastal areas well within the</w:t>
            </w:r>
            <w:r>
              <w:rPr>
                <w:rFonts w:ascii="TimesTenLTStd-Italic" w:hAnsi="TimesTenLTStd-Italic" w:cs="TimesTenLTStd-Italic"/>
                <w:iCs/>
                <w:sz w:val="20"/>
                <w:szCs w:val="20"/>
              </w:rPr>
              <w:t xml:space="preserve"> </w:t>
            </w:r>
            <w:r w:rsidRPr="00DB7295">
              <w:rPr>
                <w:rFonts w:ascii="TimesTenLTStd-Italic" w:hAnsi="TimesTenLTStd-Italic" w:cs="TimesTenLTStd-Italic"/>
                <w:iCs/>
                <w:sz w:val="20"/>
                <w:szCs w:val="20"/>
              </w:rPr>
              <w:t>Spanish and Mexican colonial settlement sphere.</w:t>
            </w:r>
          </w:p>
        </w:tc>
      </w:tr>
      <w:tr w:rsidR="00DB7295" w:rsidTr="00A36DF2">
        <w:trPr>
          <w:trHeight w:val="1205"/>
        </w:trPr>
        <w:tc>
          <w:tcPr>
            <w:tcW w:w="6636" w:type="dxa"/>
          </w:tcPr>
          <w:p w:rsidR="00DB7295" w:rsidRPr="00DB7295" w:rsidRDefault="00DB7295" w:rsidP="00DB7295">
            <w:pPr>
              <w:autoSpaceDE w:val="0"/>
              <w:autoSpaceDN w:val="0"/>
              <w:adjustRightInd w:val="0"/>
              <w:rPr>
                <w:rFonts w:ascii="TimesTenLTStd-Bold" w:hAnsi="TimesTenLTStd-Bold" w:cs="TimesTenLTStd-Bold"/>
                <w:b/>
                <w:bCs/>
                <w:iCs/>
                <w:sz w:val="44"/>
                <w:szCs w:val="44"/>
              </w:rPr>
            </w:pPr>
            <w:r w:rsidRPr="00DB7295">
              <w:rPr>
                <w:rFonts w:ascii="TimesTenLTStd-Bold" w:hAnsi="TimesTenLTStd-Bold" w:cs="TimesTenLTStd-Bold"/>
                <w:b/>
                <w:bCs/>
                <w:iCs/>
                <w:sz w:val="44"/>
                <w:szCs w:val="44"/>
              </w:rPr>
              <w:t>RECENT MASTER’S THESES OF INTEREST</w:t>
            </w:r>
          </w:p>
        </w:tc>
        <w:tc>
          <w:tcPr>
            <w:tcW w:w="6636" w:type="dxa"/>
          </w:tcPr>
          <w:p w:rsidR="00DB7295" w:rsidRPr="00714F53" w:rsidRDefault="00DB7295" w:rsidP="00DB7295">
            <w:pPr>
              <w:autoSpaceDE w:val="0"/>
              <w:autoSpaceDN w:val="0"/>
              <w:adjustRightInd w:val="0"/>
              <w:rPr>
                <w:rFonts w:ascii="TimesTenLTStd-Italic" w:hAnsi="TimesTenLTStd-Italic" w:cs="TimesTenLTStd-Italic"/>
                <w:iCs/>
                <w:sz w:val="20"/>
                <w:szCs w:val="20"/>
              </w:rPr>
            </w:pPr>
            <w:r>
              <w:rPr>
                <w:rFonts w:ascii="TimesTenLTStd-Italic" w:hAnsi="TimesTenLTStd-Italic" w:cs="TimesTenLTStd-Italic"/>
                <w:iCs/>
                <w:sz w:val="20"/>
                <w:szCs w:val="20"/>
              </w:rPr>
              <w:t xml:space="preserve">The following list of recent master’s theses, like the list of dissertations that appeared in the previous issue of the </w:t>
            </w:r>
            <w:r>
              <w:rPr>
                <w:rFonts w:ascii="TimesTenLTStd-Italic" w:hAnsi="TimesTenLTStd-Italic" w:cs="TimesTenLTStd-Italic"/>
                <w:i/>
                <w:iCs/>
                <w:sz w:val="20"/>
                <w:szCs w:val="20"/>
              </w:rPr>
              <w:t>Journal</w:t>
            </w:r>
            <w:r>
              <w:rPr>
                <w:rFonts w:ascii="TimesTenLTStd-Italic" w:hAnsi="TimesTenLTStd-Italic" w:cs="TimesTenLTStd-Italic"/>
                <w:iCs/>
                <w:sz w:val="20"/>
                <w:szCs w:val="20"/>
              </w:rPr>
              <w:t xml:space="preserve">, is intended to call attention to scholarship that might be relevant to a reader’s particular research topic but that might otherwise be missed. Unlike dissertations, which doctoral candidates are normally required to file with </w:t>
            </w:r>
            <w:r>
              <w:rPr>
                <w:rFonts w:ascii="TimesTenLTStd-Italic" w:hAnsi="TimesTenLTStd-Italic" w:cs="TimesTenLTStd-Italic"/>
                <w:i/>
                <w:iCs/>
                <w:sz w:val="20"/>
                <w:szCs w:val="20"/>
              </w:rPr>
              <w:t>Dissertation Abstracts</w:t>
            </w:r>
            <w:r>
              <w:rPr>
                <w:rFonts w:ascii="TimesTenLTStd-Italic" w:hAnsi="TimesTenLTStd-Italic" w:cs="TimesTenLTStd-Italic"/>
                <w:iCs/>
                <w:sz w:val="20"/>
                <w:szCs w:val="20"/>
              </w:rPr>
              <w:t xml:space="preserve"> (and that therefore can be searched for online and readily found), master’s theses can be easily overlooked, especially in California – surprisingly, </w:t>
            </w:r>
            <w:r w:rsidR="00714F53">
              <w:rPr>
                <w:rFonts w:ascii="TimesTenLTStd-Italic" w:hAnsi="TimesTenLTStd-Italic" w:cs="TimesTenLTStd-Italic"/>
                <w:iCs/>
                <w:sz w:val="20"/>
                <w:szCs w:val="20"/>
              </w:rPr>
              <w:t xml:space="preserve">only a handful of </w:t>
            </w:r>
            <w:proofErr w:type="spellStart"/>
            <w:r w:rsidR="00714F53">
              <w:rPr>
                <w:rFonts w:ascii="TimesTenLTStd-Italic" w:hAnsi="TimesTenLTStd-Italic" w:cs="TimesTenLTStd-Italic"/>
                <w:iCs/>
                <w:sz w:val="20"/>
                <w:szCs w:val="20"/>
              </w:rPr>
              <w:t>locl</w:t>
            </w:r>
            <w:proofErr w:type="spellEnd"/>
            <w:r w:rsidR="00714F53">
              <w:rPr>
                <w:rFonts w:ascii="TimesTenLTStd-Italic" w:hAnsi="TimesTenLTStd-Italic" w:cs="TimesTenLTStd-Italic"/>
                <w:iCs/>
                <w:sz w:val="20"/>
                <w:szCs w:val="20"/>
              </w:rPr>
              <w:t xml:space="preserve"> state universities require their students to file a master’s thesis with a public database, and most seem to make little effort to call attention to their students’ scholarly achievements at any level. Thus many of the theses listed here cannot be found on the </w:t>
            </w:r>
            <w:proofErr w:type="spellStart"/>
            <w:r w:rsidR="00714F53">
              <w:rPr>
                <w:rFonts w:ascii="TimesTenLTStd-Italic" w:hAnsi="TimesTenLTStd-Italic" w:cs="TimesTenLTStd-Italic"/>
                <w:iCs/>
                <w:sz w:val="20"/>
                <w:szCs w:val="20"/>
              </w:rPr>
              <w:t>ProQuest</w:t>
            </w:r>
            <w:proofErr w:type="spellEnd"/>
            <w:r w:rsidR="00714F53">
              <w:rPr>
                <w:rFonts w:ascii="TimesTenLTStd-Italic" w:hAnsi="TimesTenLTStd-Italic" w:cs="TimesTenLTStd-Italic"/>
                <w:iCs/>
                <w:sz w:val="20"/>
                <w:szCs w:val="20"/>
              </w:rPr>
              <w:t xml:space="preserve"> database entitled </w:t>
            </w:r>
            <w:r w:rsidR="00714F53">
              <w:rPr>
                <w:rFonts w:ascii="TimesTenLTStd-Italic" w:hAnsi="TimesTenLTStd-Italic" w:cs="TimesTenLTStd-Italic"/>
                <w:i/>
                <w:iCs/>
                <w:sz w:val="20"/>
                <w:szCs w:val="20"/>
              </w:rPr>
              <w:t xml:space="preserve">Dissertations &amp; Theses: The Humanities and Social Sciences Collection. </w:t>
            </w:r>
            <w:r w:rsidR="00714F53">
              <w:rPr>
                <w:rFonts w:ascii="TimesTenLTStd-Italic" w:hAnsi="TimesTenLTStd-Italic" w:cs="TimesTenLTStd-Italic"/>
                <w:iCs/>
                <w:sz w:val="20"/>
                <w:szCs w:val="20"/>
              </w:rPr>
              <w:t xml:space="preserve">The sole exception to the preceding generalization is CSU Sonoma, which grants an M.A. in Cultural Research </w:t>
            </w:r>
            <w:r w:rsidR="00714F53">
              <w:rPr>
                <w:rFonts w:ascii="TimesTenLTStd-Italic" w:hAnsi="TimesTenLTStd-Italic" w:cs="TimesTenLTStd-Italic"/>
                <w:iCs/>
                <w:sz w:val="20"/>
                <w:szCs w:val="20"/>
              </w:rPr>
              <w:lastRenderedPageBreak/>
              <w:t xml:space="preserve">Management – a complete list of their theses is available online at </w:t>
            </w:r>
            <w:r w:rsidR="00714F53" w:rsidRPr="00714F53">
              <w:rPr>
                <w:rFonts w:ascii="TimesTenLTStd-Italic" w:hAnsi="TimesTenLTStd-Italic" w:cs="TimesTenLTStd-Italic"/>
                <w:iCs/>
                <w:sz w:val="20"/>
                <w:szCs w:val="20"/>
              </w:rPr>
              <w:t>http://www.sonoma</w:t>
            </w:r>
            <w:r w:rsidR="00714F53">
              <w:rPr>
                <w:rFonts w:ascii="TimesTenLTStd-Italic" w:hAnsi="TimesTenLTStd-Italic" w:cs="TimesTenLTStd-Italic"/>
                <w:iCs/>
                <w:sz w:val="20"/>
                <w:szCs w:val="20"/>
              </w:rPr>
              <w:t xml:space="preserve">. </w:t>
            </w:r>
            <w:proofErr w:type="spellStart"/>
            <w:proofErr w:type="gramStart"/>
            <w:r w:rsidR="00714F53">
              <w:rPr>
                <w:rFonts w:ascii="TimesTenLTStd-Italic" w:hAnsi="TimesTenLTStd-Italic" w:cs="TimesTenLTStd-Italic"/>
                <w:iCs/>
                <w:sz w:val="20"/>
                <w:szCs w:val="20"/>
              </w:rPr>
              <w:t>edu</w:t>
            </w:r>
            <w:proofErr w:type="spellEnd"/>
            <w:r w:rsidR="00714F53">
              <w:rPr>
                <w:rFonts w:ascii="TimesTenLTStd-Italic" w:hAnsi="TimesTenLTStd-Italic" w:cs="TimesTenLTStd-Italic"/>
                <w:iCs/>
                <w:sz w:val="20"/>
                <w:szCs w:val="20"/>
              </w:rPr>
              <w:t>/anthropology/</w:t>
            </w:r>
            <w:proofErr w:type="spellStart"/>
            <w:r w:rsidR="00714F53">
              <w:rPr>
                <w:rFonts w:ascii="TimesTenLTStd-Italic" w:hAnsi="TimesTenLTStd-Italic" w:cs="TimesTenLTStd-Italic"/>
                <w:iCs/>
                <w:sz w:val="20"/>
                <w:szCs w:val="20"/>
              </w:rPr>
              <w:t>ma_program_thesis_titles</w:t>
            </w:r>
            <w:proofErr w:type="spellEnd"/>
            <w:proofErr w:type="gramEnd"/>
            <w:r w:rsidR="00714F53">
              <w:rPr>
                <w:rFonts w:ascii="TimesTenLTStd-Italic" w:hAnsi="TimesTenLTStd-Italic" w:cs="TimesTenLTStd-Italic"/>
                <w:iCs/>
                <w:sz w:val="20"/>
                <w:szCs w:val="20"/>
              </w:rPr>
              <w:t xml:space="preserve">. For that reason, they have not been included here. </w:t>
            </w:r>
          </w:p>
        </w:tc>
      </w:tr>
      <w:tr w:rsidR="00714F53" w:rsidTr="00A36DF2">
        <w:trPr>
          <w:trHeight w:val="1205"/>
        </w:trPr>
        <w:tc>
          <w:tcPr>
            <w:tcW w:w="6636" w:type="dxa"/>
          </w:tcPr>
          <w:p w:rsidR="00714F53" w:rsidRPr="00DB7295" w:rsidRDefault="00714F53" w:rsidP="00DB7295">
            <w:pPr>
              <w:autoSpaceDE w:val="0"/>
              <w:autoSpaceDN w:val="0"/>
              <w:adjustRightInd w:val="0"/>
              <w:rPr>
                <w:rFonts w:ascii="TimesTenLTStd-Bold" w:hAnsi="TimesTenLTStd-Bold" w:cs="TimesTenLTStd-Bold"/>
                <w:b/>
                <w:bCs/>
                <w:iCs/>
                <w:sz w:val="44"/>
                <w:szCs w:val="44"/>
              </w:rPr>
            </w:pPr>
            <w:bookmarkStart w:id="0" w:name="_GoBack"/>
            <w:bookmarkEnd w:id="0"/>
          </w:p>
        </w:tc>
        <w:tc>
          <w:tcPr>
            <w:tcW w:w="6636" w:type="dxa"/>
          </w:tcPr>
          <w:p w:rsidR="00714F53" w:rsidRDefault="00714F53" w:rsidP="00DB7295">
            <w:pPr>
              <w:autoSpaceDE w:val="0"/>
              <w:autoSpaceDN w:val="0"/>
              <w:adjustRightInd w:val="0"/>
              <w:rPr>
                <w:rFonts w:ascii="TimesTenLTStd-Italic" w:hAnsi="TimesTenLTStd-Italic" w:cs="TimesTenLTStd-Italic"/>
                <w:iCs/>
                <w:sz w:val="20"/>
                <w:szCs w:val="20"/>
              </w:rPr>
            </w:pPr>
          </w:p>
        </w:tc>
      </w:tr>
    </w:tbl>
    <w:p w:rsidR="00530870" w:rsidRDefault="00530870"/>
    <w:sectPr w:rsidR="00530870" w:rsidSect="00A36DF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TenLTStd-Bold">
    <w:panose1 w:val="00000000000000000000"/>
    <w:charset w:val="00"/>
    <w:family w:val="roman"/>
    <w:notTrueType/>
    <w:pitch w:val="default"/>
    <w:sig w:usb0="00000003" w:usb1="00000000" w:usb2="00000000" w:usb3="00000000" w:csb0="00000001" w:csb1="00000000"/>
  </w:font>
  <w:font w:name="TimesTenLTStd-Roman">
    <w:panose1 w:val="00000000000000000000"/>
    <w:charset w:val="00"/>
    <w:family w:val="roman"/>
    <w:notTrueType/>
    <w:pitch w:val="default"/>
    <w:sig w:usb0="00000003" w:usb1="00000000" w:usb2="00000000" w:usb3="00000000" w:csb0="00000001" w:csb1="00000000"/>
  </w:font>
  <w:font w:name="TimesTenLT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A36DF2"/>
    <w:rsid w:val="001C57CC"/>
    <w:rsid w:val="00280A4B"/>
    <w:rsid w:val="004759E6"/>
    <w:rsid w:val="00510C97"/>
    <w:rsid w:val="00530870"/>
    <w:rsid w:val="006C2669"/>
    <w:rsid w:val="00714F53"/>
    <w:rsid w:val="007B64B0"/>
    <w:rsid w:val="00A36DF2"/>
    <w:rsid w:val="00C17F9B"/>
    <w:rsid w:val="00C95D55"/>
    <w:rsid w:val="00CE7970"/>
    <w:rsid w:val="00DB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7CC"/>
    <w:pPr>
      <w:spacing w:after="0" w:line="240" w:lineRule="auto"/>
    </w:pPr>
  </w:style>
  <w:style w:type="table" w:styleId="TableGrid">
    <w:name w:val="Table Grid"/>
    <w:basedOn w:val="TableNormal"/>
    <w:uiPriority w:val="59"/>
    <w:rsid w:val="00A3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4F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ILL</cp:lastModifiedBy>
  <cp:revision>5</cp:revision>
  <dcterms:created xsi:type="dcterms:W3CDTF">2012-09-13T16:09:00Z</dcterms:created>
  <dcterms:modified xsi:type="dcterms:W3CDTF">2012-09-14T15:44:00Z</dcterms:modified>
</cp:coreProperties>
</file>